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lineRule="auto"/>
        <w:jc w:val="center"/>
      </w:pPr>
      <w:r>
        <w:rPr>
          <w:rFonts w:ascii="Times New Roman" w:cs="Times New Roman" w:eastAsia="Times New Roman" w:hAnsi="Times New Roman"/>
          <w:b/>
          <w:bCs/>
          <w:sz w:val="24"/>
          <w:szCs w:val="24"/>
        </w:rPr>
        <w:t xml:space="preserve">Development and Validation of a Caregiver-Reported Screening Tool for Early Detection of Neurocognitive Disorders in Middle-Aged and Older Adults</w:t>
      </w:r>
    </w:p>
    <w:p>
      <w:pPr>
        <w:spacing w:after="0" w:before="0" w:line="480" w:lineRule="auto"/>
        <w:jc w:val="center"/>
      </w:pPr>
      <w:r>
        <w:rPr>
          <w:rFonts w:ascii="Times New Roman" w:cs="Times New Roman" w:eastAsia="Times New Roman" w:hAnsi="Times New Roman"/>
          <w:b/>
          <w:bCs/>
          <w:sz w:val="24"/>
          <w:szCs w:val="24"/>
        </w:rPr>
        <w:t xml:space="preserve">Chapter 1: Introduction</w:t>
      </w:r>
    </w:p>
    <w:p>
      <w:pPr>
        <w:keepNext/>
        <w:spacing w:after="0" w:before="0" w:line="480" w:lineRule="auto"/>
        <w:jc w:val="center"/>
      </w:pPr>
      <w:r>
        <w:rPr>
          <w:rFonts w:ascii="Times New Roman" w:cs="Times New Roman" w:eastAsia="Times New Roman" w:hAnsi="Times New Roman"/>
          <w:b/>
          <w:bCs/>
          <w:sz w:val="24"/>
          <w:szCs w:val="24"/>
        </w:rPr>
        <w:t xml:space="preserve">Functional Changes Associated With Neurocognitive Decline</w:t>
      </w:r>
    </w:p>
    <w:p>
      <w:pPr>
        <w:spacing w:after="0" w:before="0" w:line="480" w:lineRule="auto"/>
        <w:ind w:firstLine="720"/>
      </w:pPr>
      <w:r>
        <w:rPr>
          <w:rFonts w:ascii="Times New Roman" w:cs="Times New Roman" w:eastAsia="Times New Roman" w:hAnsi="Times New Roman"/>
          <w:sz w:val="24"/>
          <w:szCs w:val="24"/>
        </w:rPr>
        <w:t xml:space="preserve">In the fifth edition of the Diagnostic and Statistical Manual of Mental Disorders, the older label of dementia sits inside a broader category called neurocognitive disorders, and the line between the mild and major forms is drawn mostly by everyday functioning (American Psychiatric Association [APA], 2013). If a person notices thinking or memory problems but still manages daily life independently, the disorder is classed as mild. Once those problems begin to get in the way of independence, it is classed as major. So the deciding factor is often not a test score but what happens at home. Change usually shows up first in the more complex instrumental activities of daily living, such as handling money, taking medication, shopping and using the telephone (Lawton &amp; Brody, 1969), and only later in basic self-care like washing and dressing. Reviews also show that small deficits in these instrumental tasks are already present in mild cognitive impairment (Jekel et al., 2015).</w:t>
      </w:r>
    </w:p>
    <w:p>
      <w:pPr>
        <w:keepNext/>
        <w:spacing w:after="0" w:before="0" w:line="480" w:lineRule="auto"/>
        <w:jc w:val="left"/>
      </w:pPr>
      <w:r>
        <w:rPr>
          <w:rFonts w:ascii="Times New Roman" w:cs="Times New Roman" w:eastAsia="Times New Roman" w:hAnsi="Times New Roman"/>
          <w:b/>
          <w:bCs/>
          <w:sz w:val="24"/>
          <w:szCs w:val="24"/>
        </w:rPr>
        <w:t xml:space="preserve">Household Responsibilities</w:t>
      </w:r>
    </w:p>
    <w:p>
      <w:pPr>
        <w:spacing w:after="0" w:before="0" w:line="480" w:lineRule="auto"/>
        <w:ind w:firstLine="720"/>
      </w:pPr>
      <w:r>
        <w:rPr>
          <w:rFonts w:ascii="Times New Roman" w:cs="Times New Roman" w:eastAsia="Times New Roman" w:hAnsi="Times New Roman"/>
          <w:sz w:val="24"/>
          <w:szCs w:val="24"/>
        </w:rPr>
        <w:t xml:space="preserve">The household is where families tend to see these changes first. A woman who has cooked for decades may begin leaving pots on the flame, repeating steps in a familiar recipe, or losing track of what she has already added. A man who always paid the utility bills may pay them twice, or forget them altogether. Getting lost on a well-known route, struggling with a mobile phone or a household appliance, and misplacing everyday objects are also common complaints. Tasks like these draw on planning, sequencing, attention and memory all at once, which may be why executive difficulties are closely tied to early functional problems (Marshall et al., 2011). Because the changes are gradual, relatives often put them down to tiredness or old age, and the pattern is recognised only in hindsight.</w:t>
      </w:r>
    </w:p>
    <w:p>
      <w:pPr>
        <w:keepNext/>
        <w:spacing w:after="0" w:before="0" w:line="480" w:lineRule="auto"/>
        <w:jc w:val="center"/>
      </w:pPr>
      <w:r>
        <w:rPr>
          <w:rFonts w:ascii="Times New Roman" w:cs="Times New Roman" w:eastAsia="Times New Roman" w:hAnsi="Times New Roman"/>
          <w:b/>
          <w:bCs/>
          <w:sz w:val="24"/>
          <w:szCs w:val="24"/>
        </w:rPr>
        <w:t xml:space="preserve">Behavioural and Psychological Changes in Neurocognitive Disorders</w:t>
      </w:r>
    </w:p>
    <w:p>
      <w:pPr>
        <w:spacing w:after="0" w:before="0" w:line="480" w:lineRule="auto"/>
        <w:ind w:firstLine="720"/>
      </w:pPr>
      <w:r>
        <w:rPr>
          <w:rFonts w:ascii="Times New Roman" w:cs="Times New Roman" w:eastAsia="Times New Roman" w:hAnsi="Times New Roman"/>
          <w:sz w:val="24"/>
          <w:szCs w:val="24"/>
        </w:rPr>
        <w:t xml:space="preserve">Memory loss is what most people associate with dementia, yet behavioural and psychological symptoms are just as much a part of the picture. In the Cardiovascular Health Study, neuropsychiatric symptoms were reported in a little over 40% of people with mild cognitive impairment and in about three quarters of those with dementia (Lyketsos et al., 2002). These symptoms are among the main drivers of caregiver distress and of early institutional care (Kales et al., 2015), and they are frequently what pushes a family to finally seek help.</w:t>
      </w:r>
    </w:p>
    <w:p>
      <w:pPr>
        <w:keepNext/>
        <w:spacing w:after="0" w:before="0" w:line="480" w:lineRule="auto"/>
        <w:jc w:val="left"/>
      </w:pPr>
      <w:r>
        <w:rPr>
          <w:rFonts w:ascii="Times New Roman" w:cs="Times New Roman" w:eastAsia="Times New Roman" w:hAnsi="Times New Roman"/>
          <w:b/>
          <w:bCs/>
          <w:sz w:val="24"/>
          <w:szCs w:val="24"/>
        </w:rPr>
        <w:t xml:space="preserve">Changes in Personality</w:t>
      </w:r>
    </w:p>
    <w:p>
      <w:pPr>
        <w:spacing w:after="0" w:before="0" w:line="480" w:lineRule="auto"/>
        <w:ind w:firstLine="720"/>
      </w:pPr>
      <w:r>
        <w:rPr>
          <w:rFonts w:ascii="Times New Roman" w:cs="Times New Roman" w:eastAsia="Times New Roman" w:hAnsi="Times New Roman"/>
          <w:sz w:val="24"/>
          <w:szCs w:val="24"/>
        </w:rPr>
        <w:t xml:space="preserve">Relatives often say the person is "not the same" anymore. Personality change has been documented in Alzheimer’s disease (Robins Wahlin &amp; Byrne, 2011), and there is evidence that it can be detected before a formal diagnosis is made (Balsis et al., 2005). In the behavioural variant of frontotemporal dementia, altered conduct, disinhibition and loss of empathy are core diagnostic features (Rascovsky et al., 2011).</w:t>
      </w:r>
    </w:p>
    <w:p>
      <w:pPr>
        <w:keepNext/>
        <w:spacing w:after="0" w:before="0" w:line="480" w:lineRule="auto"/>
        <w:jc w:val="left"/>
      </w:pPr>
      <w:r>
        <w:rPr>
          <w:rFonts w:ascii="Times New Roman" w:cs="Times New Roman" w:eastAsia="Times New Roman" w:hAnsi="Times New Roman"/>
          <w:b/>
          <w:bCs/>
          <w:sz w:val="24"/>
          <w:szCs w:val="24"/>
        </w:rPr>
        <w:t xml:space="preserve">Apathy and Loss of Initiative</w:t>
      </w:r>
    </w:p>
    <w:p>
      <w:pPr>
        <w:spacing w:after="0" w:before="0" w:line="480" w:lineRule="auto"/>
        <w:ind w:firstLine="720"/>
      </w:pPr>
      <w:r>
        <w:rPr>
          <w:rFonts w:ascii="Times New Roman" w:cs="Times New Roman" w:eastAsia="Times New Roman" w:hAnsi="Times New Roman"/>
          <w:sz w:val="24"/>
          <w:szCs w:val="24"/>
        </w:rPr>
        <w:t xml:space="preserve">Apathy refers to a reduction in goal-directed behaviour and motivation, and it is one of the most frequent neuropsychiatric symptoms across neurocognitive disorders (Lanctôt et al., 2017; Robert et al., 2018). It tends to become more common as the illness advances (Starkstein et al., 2006). Families commonly misread it as laziness, a lack of interest or a bad attitude, when it may actually reflect changes in the brain.</w:t>
      </w:r>
    </w:p>
    <w:p>
      <w:pPr>
        <w:keepNext/>
        <w:spacing w:after="0" w:before="0" w:line="480" w:lineRule="auto"/>
        <w:jc w:val="left"/>
      </w:pPr>
      <w:r>
        <w:rPr>
          <w:rFonts w:ascii="Times New Roman" w:cs="Times New Roman" w:eastAsia="Times New Roman" w:hAnsi="Times New Roman"/>
          <w:b/>
          <w:bCs/>
          <w:sz w:val="24"/>
          <w:szCs w:val="24"/>
        </w:rPr>
        <w:t xml:space="preserve">Irritability and Agitation</w:t>
      </w:r>
    </w:p>
    <w:p>
      <w:pPr>
        <w:spacing w:after="0" w:before="0" w:line="480" w:lineRule="auto"/>
        <w:ind w:firstLine="720"/>
      </w:pPr>
      <w:r>
        <w:rPr>
          <w:rFonts w:ascii="Times New Roman" w:cs="Times New Roman" w:eastAsia="Times New Roman" w:hAnsi="Times New Roman"/>
          <w:sz w:val="24"/>
          <w:szCs w:val="24"/>
        </w:rPr>
        <w:t xml:space="preserve">Short temper, restlessness, verbal outbursts and resistance to care are common and can be very hard on those living with the person. Kales et al. (2015) describe such behaviours as the outcome of neurological change interacting with unmet needs, discomfort and a confusing environment. In practical terms, a person who can no longer follow what is going on may simply become frustrated and lash out.</w:t>
      </w:r>
    </w:p>
    <w:p>
      <w:pPr>
        <w:keepNext/>
        <w:spacing w:after="0" w:before="0" w:line="480" w:lineRule="auto"/>
        <w:jc w:val="left"/>
      </w:pPr>
      <w:r>
        <w:rPr>
          <w:rFonts w:ascii="Times New Roman" w:cs="Times New Roman" w:eastAsia="Times New Roman" w:hAnsi="Times New Roman"/>
          <w:b/>
          <w:bCs/>
          <w:sz w:val="24"/>
          <w:szCs w:val="24"/>
        </w:rPr>
        <w:t xml:space="preserve">Social Withdrawal</w:t>
      </w:r>
    </w:p>
    <w:p>
      <w:pPr>
        <w:spacing w:after="0" w:before="0" w:line="480" w:lineRule="auto"/>
        <w:ind w:firstLine="720"/>
      </w:pPr>
      <w:r>
        <w:rPr>
          <w:rFonts w:ascii="Times New Roman" w:cs="Times New Roman" w:eastAsia="Times New Roman" w:hAnsi="Times New Roman"/>
          <w:sz w:val="24"/>
          <w:szCs w:val="24"/>
        </w:rPr>
        <w:t xml:space="preserve">Some people gradually stop attending family gatherings, religious congregations or visits with neighbours, perhaps out of embarrassment about their lapses or because conversation has become hard to follow. Social disengagement is linked with a higher risk of dementia (Kuiper et al., 2015), although it is not always clear whether it is a cause, an early symptom, or both.</w:t>
      </w:r>
    </w:p>
    <w:p>
      <w:pPr>
        <w:keepNext/>
        <w:spacing w:after="0" w:before="0" w:line="480" w:lineRule="auto"/>
        <w:jc w:val="left"/>
      </w:pPr>
      <w:r>
        <w:rPr>
          <w:rFonts w:ascii="Times New Roman" w:cs="Times New Roman" w:eastAsia="Times New Roman" w:hAnsi="Times New Roman"/>
          <w:b/>
          <w:bCs/>
          <w:sz w:val="24"/>
          <w:szCs w:val="24"/>
        </w:rPr>
        <w:t xml:space="preserve">Suspiciousness and Behavioural Changes</w:t>
      </w:r>
    </w:p>
    <w:p>
      <w:pPr>
        <w:spacing w:after="0" w:before="0" w:line="480" w:lineRule="auto"/>
        <w:ind w:firstLine="720"/>
      </w:pPr>
      <w:r>
        <w:rPr>
          <w:rFonts w:ascii="Times New Roman" w:cs="Times New Roman" w:eastAsia="Times New Roman" w:hAnsi="Times New Roman"/>
          <w:sz w:val="24"/>
          <w:szCs w:val="24"/>
        </w:rPr>
        <w:t xml:space="preserve">Suspicion is a striking feature for many families. A person may accuse relatives of stealing misplaced belongings, or hold unfounded beliefs about a spouse’s loyalty. Delusions of this kind affect a substantial share of people with Alzheimer’s disease (Ropacki &amp; Jeste, 2005). Repetitive questioning, wandering and socially inappropriate behaviour may appear alongside them.</w:t>
      </w:r>
    </w:p>
    <w:p>
      <w:pPr>
        <w:keepNext/>
        <w:spacing w:after="0" w:before="0" w:line="480" w:lineRule="auto"/>
        <w:jc w:val="left"/>
      </w:pPr>
      <w:r>
        <w:rPr>
          <w:rFonts w:ascii="Times New Roman" w:cs="Times New Roman" w:eastAsia="Times New Roman" w:hAnsi="Times New Roman"/>
          <w:b/>
          <w:bCs/>
          <w:sz w:val="24"/>
          <w:szCs w:val="24"/>
        </w:rPr>
        <w:t xml:space="preserve">Emotional Changes</w:t>
      </w:r>
    </w:p>
    <w:p>
      <w:pPr>
        <w:spacing w:after="0" w:before="0" w:line="480" w:lineRule="auto"/>
        <w:ind w:firstLine="720"/>
      </w:pPr>
      <w:r>
        <w:rPr>
          <w:rFonts w:ascii="Times New Roman" w:cs="Times New Roman" w:eastAsia="Times New Roman" w:hAnsi="Times New Roman"/>
          <w:sz w:val="24"/>
          <w:szCs w:val="24"/>
        </w:rPr>
        <w:t xml:space="preserve">Low mood, anxiety and emotional instability are common as well. A meta-analysis found that nearly one third of people with mild cognitive impairment had depression (Ismail et al., 2017), and depression has been associated with a higher later risk of dementia (Byers &amp; Yaffe, 2011; Ownby et al., 2006). Ismail et al. (2016) went further and proposed mild behavioural impairment as a syndrome, arguing that new neuropsychiatric symptoms in later life may signal emerging dementia.</w:t>
      </w:r>
    </w:p>
    <w:p>
      <w:pPr>
        <w:keepNext/>
        <w:spacing w:after="0" w:before="0" w:line="480" w:lineRule="auto"/>
        <w:jc w:val="center"/>
      </w:pPr>
      <w:r>
        <w:rPr>
          <w:rFonts w:ascii="Times New Roman" w:cs="Times New Roman" w:eastAsia="Times New Roman" w:hAnsi="Times New Roman"/>
          <w:b/>
          <w:bCs/>
          <w:sz w:val="24"/>
          <w:szCs w:val="24"/>
        </w:rPr>
        <w:t xml:space="preserve">Early Detection of Neurocognitive Disorders</w:t>
      </w:r>
    </w:p>
    <w:p>
      <w:pPr>
        <w:spacing w:after="0" w:before="0" w:line="480" w:lineRule="auto"/>
        <w:ind w:firstLine="720"/>
      </w:pPr>
      <w:r>
        <w:rPr>
          <w:rFonts w:ascii="Times New Roman" w:cs="Times New Roman" w:eastAsia="Times New Roman" w:hAnsi="Times New Roman"/>
          <w:sz w:val="24"/>
          <w:szCs w:val="24"/>
        </w:rPr>
        <w:t xml:space="preserve">An estimated 57.4 million people were living with dementia worldwide in 2019, and that figure is expected to reach about 153 million by 2050 (Nichols et al., 2022). Most of the growth is projected to occur in low- and middle-income countries (Prince et al., 2013; World Health Organization [WHO], 2021a). With numbers like these, spotting the problem early has become a central concern for health systems (Livingston et al., 2020).</w:t>
      </w:r>
    </w:p>
    <w:p>
      <w:pPr>
        <w:keepNext/>
        <w:spacing w:after="0" w:before="0" w:line="480" w:lineRule="auto"/>
        <w:jc w:val="left"/>
      </w:pPr>
      <w:r>
        <w:rPr>
          <w:rFonts w:ascii="Times New Roman" w:cs="Times New Roman" w:eastAsia="Times New Roman" w:hAnsi="Times New Roman"/>
          <w:b/>
          <w:bCs/>
          <w:sz w:val="24"/>
          <w:szCs w:val="24"/>
        </w:rPr>
        <w:t xml:space="preserve">Subtle Functional Changes</w:t>
      </w:r>
    </w:p>
    <w:p>
      <w:pPr>
        <w:spacing w:after="0" w:before="0" w:line="480" w:lineRule="auto"/>
        <w:ind w:firstLine="720"/>
      </w:pPr>
      <w:r>
        <w:rPr>
          <w:rFonts w:ascii="Times New Roman" w:cs="Times New Roman" w:eastAsia="Times New Roman" w:hAnsi="Times New Roman"/>
          <w:sz w:val="24"/>
          <w:szCs w:val="24"/>
        </w:rPr>
        <w:t xml:space="preserve">In the early stages, functional change is easy to miss. A person may take longer over familiar tasks, need reminders, lean on written lists, or make small errors that are quickly covered up. Mild cognitive impairment describes this in-between state, where cognition is below expectation but independence is largely preserved (Petersen, 2004). Some people also sense a decline themselves while performing normally on formal tests, a state described as subjective cognitive decline (Jessen et al., 2014). Since testing may not capture these subtle shifts, the observations of people close to the person become especially valuable.</w:t>
      </w:r>
    </w:p>
    <w:p>
      <w:pPr>
        <w:keepNext/>
        <w:spacing w:after="0" w:before="0" w:line="480" w:lineRule="auto"/>
        <w:jc w:val="left"/>
      </w:pPr>
      <w:r>
        <w:rPr>
          <w:rFonts w:ascii="Times New Roman" w:cs="Times New Roman" w:eastAsia="Times New Roman" w:hAnsi="Times New Roman"/>
          <w:b/>
          <w:bCs/>
          <w:sz w:val="24"/>
          <w:szCs w:val="24"/>
        </w:rPr>
        <w:t xml:space="preserve">Benefits of Early Referral and Assessment</w:t>
      </w:r>
    </w:p>
    <w:p>
      <w:pPr>
        <w:spacing w:after="0" w:before="0" w:line="480" w:lineRule="auto"/>
        <w:ind w:firstLine="720"/>
      </w:pPr>
      <w:r>
        <w:rPr>
          <w:rFonts w:ascii="Times New Roman" w:cs="Times New Roman" w:eastAsia="Times New Roman" w:hAnsi="Times New Roman"/>
          <w:sz w:val="24"/>
          <w:szCs w:val="24"/>
        </w:rPr>
        <w:t xml:space="preserve">A timely assessment can identify treatable contributors such as depression, medication effects or vitamin and thyroid problems, and it gives families time to plan for care, finances and safety while the person can still take part in those decisions (Dubois et al., 2016; Prince et al., 2011). Early contact with services may also open the door to managing risk factors, which together are thought to account for around 40% of dementia cases worldwide (Livingston et al., 2020).</w:t>
      </w:r>
    </w:p>
    <w:p>
      <w:pPr>
        <w:keepNext/>
        <w:spacing w:after="0" w:before="0" w:line="480" w:lineRule="auto"/>
        <w:jc w:val="center"/>
      </w:pPr>
      <w:r>
        <w:rPr>
          <w:rFonts w:ascii="Times New Roman" w:cs="Times New Roman" w:eastAsia="Times New Roman" w:hAnsi="Times New Roman"/>
          <w:b/>
          <w:bCs/>
          <w:sz w:val="24"/>
          <w:szCs w:val="24"/>
        </w:rPr>
        <w:t xml:space="preserve">Screening for Neurocognitive Disorders</w:t>
      </w:r>
    </w:p>
    <w:p>
      <w:pPr>
        <w:spacing w:after="0" w:before="0" w:line="480" w:lineRule="auto"/>
        <w:ind w:firstLine="720"/>
      </w:pPr>
      <w:r>
        <w:rPr>
          <w:rFonts w:ascii="Times New Roman" w:cs="Times New Roman" w:eastAsia="Times New Roman" w:hAnsi="Times New Roman"/>
          <w:sz w:val="24"/>
          <w:szCs w:val="24"/>
        </w:rPr>
        <w:t xml:space="preserve">Screening sits between noticing a problem and confirming it. Before looking at the specific methods, it helps to be clear about what screening is for and how well it works.</w:t>
      </w:r>
    </w:p>
    <w:p>
      <w:pPr>
        <w:keepNext/>
        <w:spacing w:after="0" w:before="0" w:line="480" w:lineRule="auto"/>
        <w:jc w:val="left"/>
      </w:pPr>
      <w:r>
        <w:rPr>
          <w:rFonts w:ascii="Times New Roman" w:cs="Times New Roman" w:eastAsia="Times New Roman" w:hAnsi="Times New Roman"/>
          <w:b/>
          <w:bCs/>
          <w:sz w:val="24"/>
          <w:szCs w:val="24"/>
        </w:rPr>
        <w:t xml:space="preserve">Purpose of Cognitive Screening</w:t>
      </w:r>
    </w:p>
    <w:p>
      <w:pPr>
        <w:spacing w:after="0" w:before="0" w:line="480" w:lineRule="auto"/>
        <w:ind w:firstLine="720"/>
      </w:pPr>
      <w:r>
        <w:rPr>
          <w:rFonts w:ascii="Times New Roman" w:cs="Times New Roman" w:eastAsia="Times New Roman" w:hAnsi="Times New Roman"/>
          <w:sz w:val="24"/>
          <w:szCs w:val="24"/>
        </w:rPr>
        <w:t xml:space="preserve">A cognitive screening instrument is a short, easily administered measure that flags people who need a full evaluation. It is not meant to diagnose (Cullen et al., 2007; Ismail et al., 2010). Its value lies in sorting out, quickly and cheaply, who should be looked at more closely.</w:t>
      </w:r>
    </w:p>
    <w:p>
      <w:pPr>
        <w:keepNext/>
        <w:spacing w:after="0" w:before="0" w:line="480" w:lineRule="auto"/>
        <w:jc w:val="left"/>
      </w:pPr>
      <w:r>
        <w:rPr>
          <w:rFonts w:ascii="Times New Roman" w:cs="Times New Roman" w:eastAsia="Times New Roman" w:hAnsi="Times New Roman"/>
          <w:b/>
          <w:bCs/>
          <w:sz w:val="24"/>
          <w:szCs w:val="24"/>
        </w:rPr>
        <w:t xml:space="preserve">Sensitivity and Specificity in Screening</w:t>
      </w:r>
    </w:p>
    <w:p>
      <w:pPr>
        <w:spacing w:after="0" w:before="0" w:line="480" w:lineRule="auto"/>
        <w:ind w:firstLine="720"/>
      </w:pPr>
      <w:r>
        <w:rPr>
          <w:rFonts w:ascii="Times New Roman" w:cs="Times New Roman" w:eastAsia="Times New Roman" w:hAnsi="Times New Roman"/>
          <w:sz w:val="24"/>
          <w:szCs w:val="24"/>
        </w:rPr>
        <w:t xml:space="preserve">Two properties describe how well a screening tool performs. Sensitivity is the proportion of people who truly have the condition that the tool correctly identifies, while specificity is the proportion of people without the condition that it correctly clears (Trevethan, 2017). The two pull against each other: a cut-off that catches more true cases will usually also flag more healthy people. A commonly used screener such as the Mini-Mental State Examination shows reasonable accuracy for dementia but weaker accuracy for mild cognitive impairment (Mitchell, 2009), which is exactly where early detection matters.</w:t>
      </w:r>
    </w:p>
    <w:p>
      <w:pPr>
        <w:keepNext/>
        <w:spacing w:after="0" w:before="0" w:line="480" w:lineRule="auto"/>
        <w:jc w:val="left"/>
      </w:pPr>
      <w:r>
        <w:rPr>
          <w:rFonts w:ascii="Times New Roman" w:cs="Times New Roman" w:eastAsia="Times New Roman" w:hAnsi="Times New Roman"/>
          <w:b/>
          <w:bCs/>
          <w:sz w:val="24"/>
          <w:szCs w:val="24"/>
        </w:rPr>
        <w:t xml:space="preserve">Clinical Utility of Early Screening</w:t>
      </w:r>
    </w:p>
    <w:p>
      <w:pPr>
        <w:spacing w:after="0" w:before="0" w:line="480" w:lineRule="auto"/>
        <w:ind w:firstLine="720"/>
      </w:pPr>
      <w:r>
        <w:rPr>
          <w:rFonts w:ascii="Times New Roman" w:cs="Times New Roman" w:eastAsia="Times New Roman" w:hAnsi="Times New Roman"/>
          <w:sz w:val="24"/>
          <w:szCs w:val="24"/>
        </w:rPr>
        <w:t xml:space="preserve">The evidence on screening everyone is mixed. The U.S. Preventive Services Task Force concluded that current evidence is insufficient to weigh the benefits and harms of screening older adults who have no symptoms (Owens et al., 2020). Other groups instead favour detection when a patient or family member raises a concern or when a clinician notices something (Borson et al., 2013; Cordell et al., 2013). That second approach is essentially case-finding, and it is the setting in which a caregiver-completed tool would be used.</w:t>
      </w:r>
    </w:p>
    <w:p>
      <w:pPr>
        <w:keepNext/>
        <w:spacing w:after="0" w:before="0" w:line="480" w:lineRule="auto"/>
        <w:jc w:val="left"/>
      </w:pPr>
      <w:r>
        <w:rPr>
          <w:rFonts w:ascii="Times New Roman" w:cs="Times New Roman" w:eastAsia="Times New Roman" w:hAnsi="Times New Roman"/>
          <w:b/>
          <w:bCs/>
          <w:sz w:val="24"/>
          <w:szCs w:val="24"/>
        </w:rPr>
        <w:t xml:space="preserve">Existing Approaches to Neurocognitive Screening</w:t>
      </w:r>
    </w:p>
    <w:p>
      <w:pPr>
        <w:spacing w:after="0" w:before="0" w:line="480" w:lineRule="auto"/>
        <w:ind w:firstLine="720"/>
      </w:pPr>
      <w:r>
        <w:rPr>
          <w:rFonts w:ascii="Times New Roman" w:cs="Times New Roman" w:eastAsia="Times New Roman" w:hAnsi="Times New Roman"/>
          <w:sz w:val="24"/>
          <w:szCs w:val="24"/>
        </w:rPr>
        <w:t xml:space="preserve">Existing screening methods fall broadly into four types, depending on who provides the information.</w:t>
      </w:r>
    </w:p>
    <w:p>
      <w:pPr>
        <w:keepNext/>
        <w:spacing w:after="0" w:before="0" w:line="480" w:lineRule="auto"/>
        <w:jc w:val="left"/>
      </w:pPr>
      <w:r>
        <w:rPr>
          <w:rFonts w:ascii="Times New Roman" w:cs="Times New Roman" w:eastAsia="Times New Roman" w:hAnsi="Times New Roman"/>
          <w:b/>
          <w:bCs/>
          <w:i/>
          <w:iCs/>
          <w:sz w:val="24"/>
          <w:szCs w:val="24"/>
        </w:rPr>
        <w:t xml:space="preserve">Performance-Based Cognitive Screening</w:t>
      </w:r>
    </w:p>
    <w:p>
      <w:pPr>
        <w:spacing w:after="0" w:before="0" w:line="480" w:lineRule="auto"/>
        <w:ind w:firstLine="720"/>
      </w:pPr>
      <w:r>
        <w:rPr>
          <w:rFonts w:ascii="Times New Roman" w:cs="Times New Roman" w:eastAsia="Times New Roman" w:hAnsi="Times New Roman"/>
          <w:sz w:val="24"/>
          <w:szCs w:val="24"/>
        </w:rPr>
        <w:t xml:space="preserve">Here the person completes tasks such as recalling words, drawing a clock or answering orientation questions. The Mini-Mental State Examination (Folstein et al., 1975) and the Montreal Cognitive Assessment (Nasreddine et al., 2005) are the best known. They work well for many purposes, but they need a cooperative, literate examinee and give only a snapshot of how the person performed on one day.</w:t>
      </w:r>
    </w:p>
    <w:p>
      <w:pPr>
        <w:keepNext/>
        <w:spacing w:after="0" w:before="0" w:line="480" w:lineRule="auto"/>
        <w:jc w:val="left"/>
      </w:pPr>
      <w:r>
        <w:rPr>
          <w:rFonts w:ascii="Times New Roman" w:cs="Times New Roman" w:eastAsia="Times New Roman" w:hAnsi="Times New Roman"/>
          <w:b/>
          <w:bCs/>
          <w:i/>
          <w:iCs/>
          <w:sz w:val="24"/>
          <w:szCs w:val="24"/>
        </w:rPr>
        <w:t xml:space="preserve">Self-Reported Cognitive Screening</w:t>
      </w:r>
    </w:p>
    <w:p>
      <w:pPr>
        <w:spacing w:after="0" w:before="0" w:line="480" w:lineRule="auto"/>
        <w:ind w:firstLine="720"/>
      </w:pPr>
      <w:r>
        <w:rPr>
          <w:rFonts w:ascii="Times New Roman" w:cs="Times New Roman" w:eastAsia="Times New Roman" w:hAnsi="Times New Roman"/>
          <w:sz w:val="24"/>
          <w:szCs w:val="24"/>
        </w:rPr>
        <w:t xml:space="preserve">These approaches ask people to rate their own memory or thinking. Self-perceived decline can be an early marker (Jessen et al., 2014), but it depends on the person having adequate insight, and reports can be shaped by mood and personality.</w:t>
      </w:r>
    </w:p>
    <w:p>
      <w:pPr>
        <w:keepNext/>
        <w:spacing w:after="0" w:before="0" w:line="480" w:lineRule="auto"/>
        <w:jc w:val="left"/>
      </w:pPr>
      <w:r>
        <w:rPr>
          <w:rFonts w:ascii="Times New Roman" w:cs="Times New Roman" w:eastAsia="Times New Roman" w:hAnsi="Times New Roman"/>
          <w:b/>
          <w:bCs/>
          <w:i/>
          <w:iCs/>
          <w:sz w:val="24"/>
          <w:szCs w:val="24"/>
        </w:rPr>
        <w:t xml:space="preserve">Informant-Reported Screening</w:t>
      </w:r>
    </w:p>
    <w:p>
      <w:pPr>
        <w:spacing w:after="0" w:before="0" w:line="480" w:lineRule="auto"/>
        <w:ind w:firstLine="720"/>
      </w:pPr>
      <w:r>
        <w:rPr>
          <w:rFonts w:ascii="Times New Roman" w:cs="Times New Roman" w:eastAsia="Times New Roman" w:hAnsi="Times New Roman"/>
          <w:sz w:val="24"/>
          <w:szCs w:val="24"/>
        </w:rPr>
        <w:t xml:space="preserve">Informant measures ask someone who knows the person well to judge how they have changed. The Informant Questionnaire on Cognitive Decline in the Elderly (Jorm &amp; Jacomb, 1989) and the AD8 (Galvin et al., 2005) are widely used examples. Because they ask about change from a previous level, they are relatively little affected by education or earlier ability (Jorm, 1996, 2004).</w:t>
      </w:r>
    </w:p>
    <w:p>
      <w:pPr>
        <w:keepNext/>
        <w:spacing w:after="0" w:before="0" w:line="480" w:lineRule="auto"/>
        <w:jc w:val="left"/>
      </w:pPr>
      <w:r>
        <w:rPr>
          <w:rFonts w:ascii="Times New Roman" w:cs="Times New Roman" w:eastAsia="Times New Roman" w:hAnsi="Times New Roman"/>
          <w:b/>
          <w:bCs/>
          <w:i/>
          <w:iCs/>
          <w:sz w:val="24"/>
          <w:szCs w:val="24"/>
        </w:rPr>
        <w:t xml:space="preserve">Caregiver-Reported Screening</w:t>
      </w:r>
    </w:p>
    <w:p>
      <w:pPr>
        <w:spacing w:after="0" w:before="0" w:line="480" w:lineRule="auto"/>
        <w:ind w:firstLine="720"/>
      </w:pPr>
      <w:r>
        <w:rPr>
          <w:rFonts w:ascii="Times New Roman" w:cs="Times New Roman" w:eastAsia="Times New Roman" w:hAnsi="Times New Roman"/>
          <w:sz w:val="24"/>
          <w:szCs w:val="24"/>
        </w:rPr>
        <w:t xml:space="preserve">Caregiver-reported screening is a more specific form of informant report in which the respondent is directly involved in the person’s daily care and therefore sees function and behaviour at first hand. Tools such as the Neuropsychiatric Inventory Questionnaire (Kaufer et al., 2000) and the Functional Activities Questionnaire (Pfeffer et al., 1982) follow this logic, though they were designed to assess particular domains rather than to screen broadly for neurocognitive change.</w:t>
      </w:r>
    </w:p>
    <w:p>
      <w:pPr>
        <w:keepNext/>
        <w:spacing w:after="0" w:before="0" w:line="480" w:lineRule="auto"/>
        <w:jc w:val="center"/>
      </w:pPr>
      <w:r>
        <w:rPr>
          <w:rFonts w:ascii="Times New Roman" w:cs="Times New Roman" w:eastAsia="Times New Roman" w:hAnsi="Times New Roman"/>
          <w:b/>
          <w:bCs/>
          <w:sz w:val="24"/>
          <w:szCs w:val="24"/>
        </w:rPr>
        <w:t xml:space="preserve">Importance of Caregiver Reports</w:t>
      </w:r>
    </w:p>
    <w:p>
      <w:pPr>
        <w:spacing w:after="0" w:before="0" w:line="480" w:lineRule="auto"/>
        <w:ind w:firstLine="720"/>
      </w:pPr>
      <w:r>
        <w:rPr>
          <w:rFonts w:ascii="Times New Roman" w:cs="Times New Roman" w:eastAsia="Times New Roman" w:hAnsi="Times New Roman"/>
          <w:sz w:val="24"/>
          <w:szCs w:val="24"/>
        </w:rPr>
        <w:t xml:space="preserve">Caregivers observe the person across time and across situations, in ways a clinic visit of twenty minutes cannot. Collateral reports have been shown to be accurate in very mild to mild dementia (Cacchione et al., 2003), and informant-based assessment has a long record in the field (Jorm, 1996). Caregiver reports are not free from bias, since a caregiver’s own stress, mood or relationship with the person can colour what is reported, but this is a limitation to be managed rather than a reason to discard the source.</w:t>
      </w:r>
    </w:p>
    <w:p>
      <w:pPr>
        <w:keepNext/>
        <w:spacing w:after="0" w:before="0" w:line="480" w:lineRule="auto"/>
        <w:jc w:val="left"/>
      </w:pPr>
      <w:r>
        <w:rPr>
          <w:rFonts w:ascii="Times New Roman" w:cs="Times New Roman" w:eastAsia="Times New Roman" w:hAnsi="Times New Roman"/>
          <w:b/>
          <w:bCs/>
          <w:sz w:val="24"/>
          <w:szCs w:val="24"/>
        </w:rPr>
        <w:t xml:space="preserve">Utility When Self-Awareness Is Reduced</w:t>
      </w:r>
    </w:p>
    <w:p>
      <w:pPr>
        <w:spacing w:after="0" w:before="0" w:line="480" w:lineRule="auto"/>
        <w:ind w:firstLine="720"/>
      </w:pPr>
      <w:r>
        <w:rPr>
          <w:rFonts w:ascii="Times New Roman" w:cs="Times New Roman" w:eastAsia="Times New Roman" w:hAnsi="Times New Roman"/>
          <w:sz w:val="24"/>
          <w:szCs w:val="24"/>
        </w:rPr>
        <w:t xml:space="preserve">Reduced awareness of one’s own deficits, known as anosognosia, is common in Alzheimer’s disease and related conditions (Ott et al., 1996; Starkstein, 2014). A person who cannot recognise a problem will not report it, and may also perform adequately in a brief, structured interview. Carr et al. (2000) found that complaints from an informant were more useful than the person’s own complaints for identifying early dementia, which makes the caregiver’s account indispensable in such cases.</w:t>
      </w:r>
    </w:p>
    <w:p>
      <w:pPr>
        <w:keepNext/>
        <w:spacing w:after="0" w:before="0" w:line="480" w:lineRule="auto"/>
        <w:jc w:val="center"/>
      </w:pPr>
      <w:r>
        <w:rPr>
          <w:rFonts w:ascii="Times New Roman" w:cs="Times New Roman" w:eastAsia="Times New Roman" w:hAnsi="Times New Roman"/>
          <w:b/>
          <w:bCs/>
          <w:sz w:val="24"/>
          <w:szCs w:val="24"/>
        </w:rPr>
        <w:t xml:space="preserve">Limitations of Existing Neurocognitive Screening Measures</w:t>
      </w:r>
    </w:p>
    <w:p>
      <w:pPr>
        <w:spacing w:after="0" w:before="0" w:line="480" w:lineRule="auto"/>
        <w:ind w:firstLine="720"/>
      </w:pPr>
      <w:r>
        <w:rPr>
          <w:rFonts w:ascii="Times New Roman" w:cs="Times New Roman" w:eastAsia="Times New Roman" w:hAnsi="Times New Roman"/>
          <w:sz w:val="24"/>
          <w:szCs w:val="24"/>
        </w:rPr>
        <w:t xml:space="preserve">Widely used screening measures have served clinicians well, but they carry limitations that become more visible outside the settings where they were developed.</w:t>
      </w:r>
    </w:p>
    <w:p>
      <w:pPr>
        <w:keepNext/>
        <w:spacing w:after="0" w:before="0" w:line="480" w:lineRule="auto"/>
        <w:jc w:val="left"/>
      </w:pPr>
      <w:r>
        <w:rPr>
          <w:rFonts w:ascii="Times New Roman" w:cs="Times New Roman" w:eastAsia="Times New Roman" w:hAnsi="Times New Roman"/>
          <w:b/>
          <w:bCs/>
          <w:sz w:val="24"/>
          <w:szCs w:val="24"/>
        </w:rPr>
        <w:t xml:space="preserve">Effects of Education and Literacy</w:t>
      </w:r>
    </w:p>
    <w:p>
      <w:pPr>
        <w:spacing w:after="0" w:before="0" w:line="480" w:lineRule="auto"/>
        <w:ind w:firstLine="720"/>
      </w:pPr>
      <w:r>
        <w:rPr>
          <w:rFonts w:ascii="Times New Roman" w:cs="Times New Roman" w:eastAsia="Times New Roman" w:hAnsi="Times New Roman"/>
          <w:sz w:val="24"/>
          <w:szCs w:val="24"/>
        </w:rPr>
        <w:t xml:space="preserve">Scores on brief cognitive tests are strongly linked to years of education. Population norms for the Mini-Mental State Examination, for example, show markedly lower scores among people with little schooling (Crum et al., 1993), and reading level explains a good deal of the differences seen between groups (Manly et al., 2002). Illiteracy affects performance across many kinds of tasks (Ardila et al., 2010), and studies in rural India found that older adults with limited education performed poorly on standard tests despite having no dementia (Ganguli et al., 1996). The risk is that healthy but unschooled people are labelled impaired.</w:t>
      </w:r>
    </w:p>
    <w:p>
      <w:pPr>
        <w:keepNext/>
        <w:spacing w:after="0" w:before="0" w:line="480" w:lineRule="auto"/>
        <w:jc w:val="left"/>
      </w:pPr>
      <w:r>
        <w:rPr>
          <w:rFonts w:ascii="Times New Roman" w:cs="Times New Roman" w:eastAsia="Times New Roman" w:hAnsi="Times New Roman"/>
          <w:b/>
          <w:bCs/>
          <w:sz w:val="24"/>
          <w:szCs w:val="24"/>
        </w:rPr>
        <w:t xml:space="preserve">Cultural and Language Bias</w:t>
      </w:r>
    </w:p>
    <w:p>
      <w:pPr>
        <w:spacing w:after="0" w:before="0" w:line="480" w:lineRule="auto"/>
        <w:ind w:firstLine="720"/>
      </w:pPr>
      <w:r>
        <w:rPr>
          <w:rFonts w:ascii="Times New Roman" w:cs="Times New Roman" w:eastAsia="Times New Roman" w:hAnsi="Times New Roman"/>
          <w:sz w:val="24"/>
          <w:szCs w:val="24"/>
        </w:rPr>
        <w:t xml:space="preserve">Most instruments were built in Western, English-speaking settings and take for granted certain experiences, such as familiarity with clocks, test-taking or particular objects and vocabulary. Rosselli and Ardila (2003) reviewed how culture and education shape performance even on tasks meant to be non-verbal. Translating a test does not make it culturally fair, and optimal cut-off scores have been shown to vary across ethnic groups (Milani et al., 2018).</w:t>
      </w:r>
    </w:p>
    <w:p>
      <w:pPr>
        <w:keepNext/>
        <w:spacing w:after="0" w:before="0" w:line="480" w:lineRule="auto"/>
        <w:jc w:val="left"/>
      </w:pPr>
      <w:r>
        <w:rPr>
          <w:rFonts w:ascii="Times New Roman" w:cs="Times New Roman" w:eastAsia="Times New Roman" w:hAnsi="Times New Roman"/>
          <w:b/>
          <w:bCs/>
          <w:sz w:val="24"/>
          <w:szCs w:val="24"/>
        </w:rPr>
        <w:t xml:space="preserve">Limited Assessment of Functional Change</w:t>
      </w:r>
    </w:p>
    <w:p>
      <w:pPr>
        <w:spacing w:after="0" w:before="0" w:line="480" w:lineRule="auto"/>
        <w:ind w:firstLine="720"/>
      </w:pPr>
      <w:r>
        <w:rPr>
          <w:rFonts w:ascii="Times New Roman" w:cs="Times New Roman" w:eastAsia="Times New Roman" w:hAnsi="Times New Roman"/>
          <w:sz w:val="24"/>
          <w:szCs w:val="24"/>
        </w:rPr>
        <w:t xml:space="preserve">Performance-based tests measure how someone does on a set of tasks, not how they cope with life at home, yet decline in daily functioning is what defines the shift to major neurocognitive disorder (APA, 2013). Even existing functional scales have been criticised for uneven evidence of quality and for leaving room for improvement (Sikkes et al., 2009).</w:t>
      </w:r>
    </w:p>
    <w:p>
      <w:pPr>
        <w:keepNext/>
        <w:spacing w:after="0" w:before="0" w:line="480" w:lineRule="auto"/>
        <w:jc w:val="left"/>
      </w:pPr>
      <w:r>
        <w:rPr>
          <w:rFonts w:ascii="Times New Roman" w:cs="Times New Roman" w:eastAsia="Times New Roman" w:hAnsi="Times New Roman"/>
          <w:b/>
          <w:bCs/>
          <w:sz w:val="24"/>
          <w:szCs w:val="24"/>
        </w:rPr>
        <w:t xml:space="preserve">Limited Assessment of Behavioural and Social Changes</w:t>
      </w:r>
    </w:p>
    <w:p>
      <w:pPr>
        <w:spacing w:after="0" w:before="0" w:line="480" w:lineRule="auto"/>
        <w:ind w:firstLine="720"/>
      </w:pPr>
      <w:r>
        <w:rPr>
          <w:rFonts w:ascii="Times New Roman" w:cs="Times New Roman" w:eastAsia="Times New Roman" w:hAnsi="Times New Roman"/>
          <w:sz w:val="24"/>
          <w:szCs w:val="24"/>
        </w:rPr>
        <w:t xml:space="preserve">Standard cognitive screeners do not ask about mood, personality or social behaviour. Behavioural instruments such as the Neuropsychiatric Inventory (Cummings et al., 1994) exist, but they were designed largely to describe symptoms in people who already have a diagnosis. Given growing evidence that behavioural change may come before obvious cognitive loss (Ismail et al., 2016), this is a real gap in early detection.</w:t>
      </w:r>
    </w:p>
    <w:p>
      <w:pPr>
        <w:keepNext/>
        <w:spacing w:after="0" w:before="0" w:line="480" w:lineRule="auto"/>
        <w:jc w:val="center"/>
      </w:pPr>
      <w:r>
        <w:rPr>
          <w:rFonts w:ascii="Times New Roman" w:cs="Times New Roman" w:eastAsia="Times New Roman" w:hAnsi="Times New Roman"/>
          <w:b/>
          <w:bCs/>
          <w:sz w:val="24"/>
          <w:szCs w:val="24"/>
        </w:rPr>
        <w:t xml:space="preserve">Need for a Caregiver-Reported Screening Tool</w:t>
      </w:r>
    </w:p>
    <w:p>
      <w:pPr>
        <w:spacing w:after="0" w:before="0" w:line="480" w:lineRule="auto"/>
        <w:ind w:firstLine="720"/>
      </w:pPr>
      <w:r>
        <w:rPr>
          <w:rFonts w:ascii="Times New Roman" w:cs="Times New Roman" w:eastAsia="Times New Roman" w:hAnsi="Times New Roman"/>
          <w:sz w:val="24"/>
          <w:szCs w:val="24"/>
        </w:rPr>
        <w:t xml:space="preserve">The limitations above point toward a screening measure that draws on the person who knows the individual best, is not tied to test-taking ability, and covers what happens in daily life.</w:t>
      </w:r>
    </w:p>
    <w:p>
      <w:pPr>
        <w:keepNext/>
        <w:spacing w:after="0" w:before="0" w:line="480" w:lineRule="auto"/>
        <w:jc w:val="left"/>
      </w:pPr>
      <w:r>
        <w:rPr>
          <w:rFonts w:ascii="Times New Roman" w:cs="Times New Roman" w:eastAsia="Times New Roman" w:hAnsi="Times New Roman"/>
          <w:b/>
          <w:bCs/>
          <w:sz w:val="24"/>
          <w:szCs w:val="24"/>
        </w:rPr>
        <w:t xml:space="preserve">Advantages of Caregiver-Based Screening</w:t>
      </w:r>
    </w:p>
    <w:p>
      <w:pPr>
        <w:spacing w:after="0" w:before="0" w:line="480" w:lineRule="auto"/>
        <w:ind w:firstLine="720"/>
      </w:pPr>
      <w:r>
        <w:rPr>
          <w:rFonts w:ascii="Times New Roman" w:cs="Times New Roman" w:eastAsia="Times New Roman" w:hAnsi="Times New Roman"/>
          <w:sz w:val="24"/>
          <w:szCs w:val="24"/>
        </w:rPr>
        <w:t xml:space="preserve">A caregiver-completed tool does not require the patient to be present, cooperative or literate. It can be filled in quickly, asks about change rather than absolute performance, and can bring function, behaviour and social conduct into a single short measure. Since the caregiver compares the person with how they used to be, education matters far less than it does in performance-based tests (Jorm, 2004).</w:t>
      </w:r>
    </w:p>
    <w:p>
      <w:pPr>
        <w:keepNext/>
        <w:spacing w:after="0" w:before="0" w:line="480" w:lineRule="auto"/>
        <w:jc w:val="left"/>
      </w:pPr>
      <w:r>
        <w:rPr>
          <w:rFonts w:ascii="Times New Roman" w:cs="Times New Roman" w:eastAsia="Times New Roman" w:hAnsi="Times New Roman"/>
          <w:b/>
          <w:bCs/>
          <w:sz w:val="24"/>
          <w:szCs w:val="24"/>
        </w:rPr>
        <w:t xml:space="preserve">Relevance for Community and Primary Care Settings</w:t>
      </w:r>
    </w:p>
    <w:p>
      <w:pPr>
        <w:spacing w:after="0" w:before="0" w:line="480" w:lineRule="auto"/>
        <w:ind w:firstLine="720"/>
      </w:pPr>
      <w:r>
        <w:rPr>
          <w:rFonts w:ascii="Times New Roman" w:cs="Times New Roman" w:eastAsia="Times New Roman" w:hAnsi="Times New Roman"/>
          <w:sz w:val="24"/>
          <w:szCs w:val="24"/>
        </w:rPr>
        <w:t xml:space="preserve">Primary care is usually the first point of contact for older adults and their families, but consultations are short and clinicians often lack specialist training in cognitive assessment (Borson et al., 2013; Cordell et al., 2013). The WHO’s mhGAP guide is built on the premise that non-specialist workers can recognise and begin to manage dementia if given simple, structured tools (WHO, 2016). A brief caregiver questionnaire fits that need.</w:t>
      </w:r>
    </w:p>
    <w:p>
      <w:pPr>
        <w:keepNext/>
        <w:spacing w:after="0" w:before="0" w:line="480" w:lineRule="auto"/>
        <w:jc w:val="left"/>
      </w:pPr>
      <w:r>
        <w:rPr>
          <w:rFonts w:ascii="Times New Roman" w:cs="Times New Roman" w:eastAsia="Times New Roman" w:hAnsi="Times New Roman"/>
          <w:b/>
          <w:bCs/>
          <w:sz w:val="24"/>
          <w:szCs w:val="24"/>
        </w:rPr>
        <w:t xml:space="preserve">Usefulness in Low-Resource Clinical Settings</w:t>
      </w:r>
    </w:p>
    <w:p>
      <w:pPr>
        <w:spacing w:after="0" w:before="0" w:line="480" w:lineRule="auto"/>
        <w:ind w:firstLine="720"/>
      </w:pPr>
      <w:r>
        <w:rPr>
          <w:rFonts w:ascii="Times New Roman" w:cs="Times New Roman" w:eastAsia="Times New Roman" w:hAnsi="Times New Roman"/>
          <w:sz w:val="24"/>
          <w:szCs w:val="24"/>
        </w:rPr>
        <w:t xml:space="preserve">Mental health professionals remain scarce in many low-income countries (WHO, 2021b), and Ferri and Jacob (2017) argue that dementia care in these regions requires solutions adapted to local realities rather than imported models. A short, paper-based questionnaire that needs no specialised equipment and can be scored by trained non-specialists suits such circumstances.</w:t>
      </w:r>
    </w:p>
    <w:p>
      <w:pPr>
        <w:keepNext/>
        <w:spacing w:after="0" w:before="0" w:line="480" w:lineRule="auto"/>
        <w:jc w:val="left"/>
      </w:pPr>
      <w:r>
        <w:rPr>
          <w:rFonts w:ascii="Times New Roman" w:cs="Times New Roman" w:eastAsia="Times New Roman" w:hAnsi="Times New Roman"/>
          <w:b/>
          <w:bCs/>
          <w:sz w:val="24"/>
          <w:szCs w:val="24"/>
        </w:rPr>
        <w:t xml:space="preserve">Potential for Early Referral</w:t>
      </w:r>
    </w:p>
    <w:p>
      <w:pPr>
        <w:spacing w:after="0" w:before="0" w:line="480" w:lineRule="auto"/>
        <w:ind w:firstLine="720"/>
      </w:pPr>
      <w:r>
        <w:rPr>
          <w:rFonts w:ascii="Times New Roman" w:cs="Times New Roman" w:eastAsia="Times New Roman" w:hAnsi="Times New Roman"/>
          <w:sz w:val="24"/>
          <w:szCs w:val="24"/>
        </w:rPr>
        <w:t xml:space="preserve">A well-validated caregiver tool could help identify people who need fuller evaluation sooner, shortening the gap between the first signs at home and the first contact with a clinician. That gap is often measured in years.</w:t>
      </w:r>
    </w:p>
    <w:p>
      <w:pPr>
        <w:keepNext/>
        <w:spacing w:after="0" w:before="0" w:line="480" w:lineRule="auto"/>
        <w:jc w:val="left"/>
      </w:pPr>
      <w:r>
        <w:rPr>
          <w:rFonts w:ascii="Times New Roman" w:cs="Times New Roman" w:eastAsia="Times New Roman" w:hAnsi="Times New Roman"/>
          <w:b/>
          <w:bCs/>
          <w:sz w:val="24"/>
          <w:szCs w:val="24"/>
        </w:rPr>
        <w:t xml:space="preserve">Neurocognitive Screening in the Pakistani Context</w:t>
      </w:r>
    </w:p>
    <w:p>
      <w:pPr>
        <w:spacing w:after="0" w:before="0" w:line="480" w:lineRule="auto"/>
        <w:ind w:firstLine="720"/>
      </w:pPr>
      <w:r>
        <w:rPr>
          <w:rFonts w:ascii="Times New Roman" w:cs="Times New Roman" w:eastAsia="Times New Roman" w:hAnsi="Times New Roman"/>
          <w:sz w:val="24"/>
          <w:szCs w:val="24"/>
        </w:rPr>
        <w:t xml:space="preserve">Everything discussed so far applies with particular force in Pakistan, where national prevalence data on neurocognitive disorders are scarce and clinicians largely depend on tools developed elsewhere. The following features of the local context bear directly on how screening should be designed.</w:t>
      </w:r>
    </w:p>
    <w:p>
      <w:pPr>
        <w:keepNext/>
        <w:spacing w:after="0" w:before="0" w:line="480" w:lineRule="auto"/>
        <w:jc w:val="left"/>
      </w:pPr>
      <w:r>
        <w:rPr>
          <w:rFonts w:ascii="Times New Roman" w:cs="Times New Roman" w:eastAsia="Times New Roman" w:hAnsi="Times New Roman"/>
          <w:b/>
          <w:bCs/>
          <w:i/>
          <w:iCs/>
          <w:sz w:val="24"/>
          <w:szCs w:val="24"/>
        </w:rPr>
        <w:t xml:space="preserve">Aging Population and Neurocognitive Health in Pakistan</w:t>
      </w:r>
    </w:p>
    <w:p>
      <w:pPr>
        <w:spacing w:after="0" w:before="0" w:line="480" w:lineRule="auto"/>
        <w:ind w:firstLine="720"/>
      </w:pPr>
      <w:r>
        <w:rPr>
          <w:rFonts w:ascii="Times New Roman" w:cs="Times New Roman" w:eastAsia="Times New Roman" w:hAnsi="Times New Roman"/>
          <w:sz w:val="24"/>
          <w:szCs w:val="24"/>
        </w:rPr>
        <w:t xml:space="preserve">Pakistan is the fifth most populous country in the world, and the number of its older residents is rising quickly (United Nations, 2022). Even a small proportion of a very large population translates into millions of people. Vascular risk factors and low educational attainment, both common in developing countries, are thought to raise the burden of dementia (Kalaria et al., 2008), yet neurocognitive health has received little attention in national health planning.</w:t>
      </w:r>
    </w:p>
    <w:p>
      <w:pPr>
        <w:keepNext/>
        <w:spacing w:after="0" w:before="0" w:line="480" w:lineRule="auto"/>
        <w:jc w:val="left"/>
      </w:pPr>
      <w:r>
        <w:rPr>
          <w:rFonts w:ascii="Times New Roman" w:cs="Times New Roman" w:eastAsia="Times New Roman" w:hAnsi="Times New Roman"/>
          <w:b/>
          <w:bCs/>
          <w:i/>
          <w:iCs/>
          <w:sz w:val="24"/>
          <w:szCs w:val="24"/>
        </w:rPr>
        <w:t xml:space="preserve">Family-Based Caregiving Practices</w:t>
      </w:r>
    </w:p>
    <w:p>
      <w:pPr>
        <w:spacing w:after="0" w:before="0" w:line="480" w:lineRule="auto"/>
        <w:ind w:firstLine="720"/>
      </w:pPr>
      <w:r>
        <w:rPr>
          <w:rFonts w:ascii="Times New Roman" w:cs="Times New Roman" w:eastAsia="Times New Roman" w:hAnsi="Times New Roman"/>
          <w:sz w:val="24"/>
          <w:szCs w:val="24"/>
        </w:rPr>
        <w:t xml:space="preserve">In Pakistan, as in much of South Asia, older people are typically looked after within joint or extended families, and caring for elders is seen as a moral and religious duty. Formal residential care is limited. Studies from India describe families as the main and often only source of care for older people with cognitive decline (Patel &amp; Prince, 2001).</w:t>
      </w:r>
    </w:p>
    <w:p>
      <w:pPr>
        <w:keepNext/>
        <w:spacing w:after="0" w:before="0" w:line="480" w:lineRule="auto"/>
        <w:jc w:val="left"/>
      </w:pPr>
      <w:r>
        <w:rPr>
          <w:rFonts w:ascii="Times New Roman" w:cs="Times New Roman" w:eastAsia="Times New Roman" w:hAnsi="Times New Roman"/>
          <w:b/>
          <w:bCs/>
          <w:i/>
          <w:iCs/>
          <w:sz w:val="24"/>
          <w:szCs w:val="24"/>
        </w:rPr>
        <w:t xml:space="preserve">Role of Family Members in Identifying Cognitive Changes</w:t>
      </w:r>
    </w:p>
    <w:p>
      <w:pPr>
        <w:spacing w:after="0" w:before="0" w:line="480" w:lineRule="auto"/>
        <w:ind w:firstLine="720"/>
      </w:pPr>
      <w:r>
        <w:rPr>
          <w:rFonts w:ascii="Times New Roman" w:cs="Times New Roman" w:eastAsia="Times New Roman" w:hAnsi="Times New Roman"/>
          <w:sz w:val="24"/>
          <w:szCs w:val="24"/>
        </w:rPr>
        <w:t xml:space="preserve">Spouses, adult children and daughters-in-law usually live with the older person and are the first to see changes. Globally, most family caregivers are women (Brodaty &amp; Donkin, 2009). These relatives usually accompany the patient to the clinic and are often the only reliable source of history, which makes them the natural respondents for a screening tool.</w:t>
      </w:r>
    </w:p>
    <w:p>
      <w:pPr>
        <w:keepNext/>
        <w:spacing w:after="0" w:before="0" w:line="480" w:lineRule="auto"/>
        <w:jc w:val="left"/>
      </w:pPr>
      <w:r>
        <w:rPr>
          <w:rFonts w:ascii="Times New Roman" w:cs="Times New Roman" w:eastAsia="Times New Roman" w:hAnsi="Times New Roman"/>
          <w:b/>
          <w:bCs/>
          <w:i/>
          <w:iCs/>
          <w:sz w:val="24"/>
          <w:szCs w:val="24"/>
        </w:rPr>
        <w:t xml:space="preserve">Literacy and Educational Diversity</w:t>
      </w:r>
    </w:p>
    <w:p>
      <w:pPr>
        <w:spacing w:after="0" w:before="0" w:line="480" w:lineRule="auto"/>
        <w:ind w:firstLine="720"/>
      </w:pPr>
      <w:r>
        <w:rPr>
          <w:rFonts w:ascii="Times New Roman" w:cs="Times New Roman" w:eastAsia="Times New Roman" w:hAnsi="Times New Roman"/>
          <w:sz w:val="24"/>
          <w:szCs w:val="24"/>
        </w:rPr>
        <w:t xml:space="preserve">Many of today’s older adults in Pakistan, particularly women, had little or no formal schooling, while others are highly educated. Languages also vary from region to region, including Urdu, Punjabi, Pashto, Sindhi, Saraiki and Balochi. A screening tool that leans on reading, writing or a single language will not treat all these groups fairly (Ardila et al., 2010).</w:t>
      </w:r>
    </w:p>
    <w:p>
      <w:pPr>
        <w:keepNext/>
        <w:spacing w:after="0" w:before="0" w:line="480" w:lineRule="auto"/>
        <w:jc w:val="left"/>
      </w:pPr>
      <w:r>
        <w:rPr>
          <w:rFonts w:ascii="Times New Roman" w:cs="Times New Roman" w:eastAsia="Times New Roman" w:hAnsi="Times New Roman"/>
          <w:b/>
          <w:bCs/>
          <w:i/>
          <w:iCs/>
          <w:sz w:val="24"/>
          <w:szCs w:val="24"/>
        </w:rPr>
        <w:t xml:space="preserve">Cultural Interpretation of Memory and Behavioural Changes</w:t>
      </w:r>
    </w:p>
    <w:p>
      <w:pPr>
        <w:spacing w:after="0" w:before="0" w:line="480" w:lineRule="auto"/>
        <w:ind w:firstLine="720"/>
      </w:pPr>
      <w:r>
        <w:rPr>
          <w:rFonts w:ascii="Times New Roman" w:cs="Times New Roman" w:eastAsia="Times New Roman" w:hAnsi="Times New Roman"/>
          <w:sz w:val="24"/>
          <w:szCs w:val="24"/>
        </w:rPr>
        <w:t xml:space="preserve">In many communities forgetfulness is regarded as a normal part of getting old (Ayalon &amp; Areán, 2004; Patel &amp; Prince, 2001), and unusual behaviour may be explained in spiritual terms. Research in rural Pakistan has shown that a considerable number of people with mental health problems consult faith healers (Saeed et al., 2000). Such interpretations delay medical help and shape how caregivers describe symptoms, which a culturally grounded tool should take into account.</w:t>
      </w:r>
    </w:p>
    <w:p>
      <w:pPr>
        <w:keepNext/>
        <w:spacing w:after="0" w:before="0" w:line="480" w:lineRule="auto"/>
        <w:jc w:val="left"/>
      </w:pPr>
      <w:r>
        <w:rPr>
          <w:rFonts w:ascii="Times New Roman" w:cs="Times New Roman" w:eastAsia="Times New Roman" w:hAnsi="Times New Roman"/>
          <w:b/>
          <w:bCs/>
          <w:i/>
          <w:iCs/>
          <w:sz w:val="24"/>
          <w:szCs w:val="24"/>
        </w:rPr>
        <w:t xml:space="preserve">Stigma Associated With Cognitive and Mental Health Problems</w:t>
      </w:r>
    </w:p>
    <w:p>
      <w:pPr>
        <w:spacing w:after="0" w:before="0" w:line="480" w:lineRule="auto"/>
        <w:ind w:firstLine="720"/>
      </w:pPr>
      <w:r>
        <w:rPr>
          <w:rFonts w:ascii="Times New Roman" w:cs="Times New Roman" w:eastAsia="Times New Roman" w:hAnsi="Times New Roman"/>
          <w:sz w:val="24"/>
          <w:szCs w:val="24"/>
        </w:rPr>
        <w:t xml:space="preserve">Mental health problems carry considerable stigma in Pakistan (Karim et al., 2004; Mirza &amp; Jenkins, 2004), and dementia-related stigma has been documented around the world (Batsch &amp; Mittelman, 2012; Herrmann et al., 2018). Families may hide symptoms, fear shame, or avoid words like "dementia" or "mental illness." Item wording therefore needs care, so that the tool describes everyday behaviour in neutral language rather than using stigmatising labels.</w:t>
      </w:r>
    </w:p>
    <w:p>
      <w:pPr>
        <w:keepNext/>
        <w:spacing w:after="0" w:before="0" w:line="480" w:lineRule="auto"/>
        <w:jc w:val="center"/>
      </w:pPr>
      <w:r>
        <w:rPr>
          <w:rFonts w:ascii="Times New Roman" w:cs="Times New Roman" w:eastAsia="Times New Roman" w:hAnsi="Times New Roman"/>
          <w:b/>
          <w:bCs/>
          <w:sz w:val="24"/>
          <w:szCs w:val="24"/>
        </w:rPr>
        <w:t xml:space="preserve">Limited Access to Neuropsychological Assessment</w:t>
      </w:r>
    </w:p>
    <w:p>
      <w:pPr>
        <w:spacing w:after="0" w:before="0" w:line="480" w:lineRule="auto"/>
        <w:ind w:firstLine="720"/>
      </w:pPr>
      <w:r>
        <w:rPr>
          <w:rFonts w:ascii="Times New Roman" w:cs="Times New Roman" w:eastAsia="Times New Roman" w:hAnsi="Times New Roman"/>
          <w:sz w:val="24"/>
          <w:szCs w:val="24"/>
        </w:rPr>
        <w:t xml:space="preserve">Comprehensive neuropsychological assessment requires trained professionals, standardised materials and considerable time. In Pakistan, clinical psychologists and neuropsychologists are few and tend to work in larger urban centres, while most available tests are imported and have no local norms. This mirrors the wider shortage of mental health resources in low- and middle-income countries (Karim et al., 2004; WHO, 2021b). For a family in a small town or village, a proper cognitive assessment may be out of reach, and this makes a simple, first-line screening measure all the more necessary.</w:t>
      </w:r>
    </w:p>
    <w:p>
      <w:pPr>
        <w:keepNext/>
        <w:spacing w:after="0" w:before="0" w:line="480" w:lineRule="auto"/>
        <w:jc w:val="center"/>
      </w:pPr>
      <w:r>
        <w:rPr>
          <w:rFonts w:ascii="Times New Roman" w:cs="Times New Roman" w:eastAsia="Times New Roman" w:hAnsi="Times New Roman"/>
          <w:b/>
          <w:bCs/>
          <w:sz w:val="24"/>
          <w:szCs w:val="24"/>
        </w:rPr>
        <w:t xml:space="preserve">Need for Culturally Relevant Screening Measures</w:t>
      </w:r>
    </w:p>
    <w:p>
      <w:pPr>
        <w:spacing w:after="0" w:before="0" w:line="480" w:lineRule="auto"/>
        <w:ind w:firstLine="720"/>
      </w:pPr>
      <w:r>
        <w:rPr>
          <w:rFonts w:ascii="Times New Roman" w:cs="Times New Roman" w:eastAsia="Times New Roman" w:hAnsi="Times New Roman"/>
          <w:sz w:val="24"/>
          <w:szCs w:val="24"/>
        </w:rPr>
        <w:t xml:space="preserve">Culturally relevant measurement means more than translating an existing scale. Items need to reflect activities that people in the community actually carry out, such as managing household expenses, preparing food for a large family, attending prayers or using a mobile phone, and they need to be worded in language that people with low literacy can understand (Rosselli &amp; Ardila, 2003). Local validation is equally important, because cut-off scores established in one population cannot be assumed to work in another (Milani et al., 2018). A tool developed with these points in mind is more likely to be accepted by families and to perform accurately.</w:t>
      </w:r>
    </w:p>
    <w:p>
      <w:pPr>
        <w:keepNext/>
        <w:spacing w:after="0" w:before="0" w:line="480" w:lineRule="auto"/>
        <w:jc w:val="center"/>
      </w:pPr>
      <w:r>
        <w:rPr>
          <w:rFonts w:ascii="Times New Roman" w:cs="Times New Roman" w:eastAsia="Times New Roman" w:hAnsi="Times New Roman"/>
          <w:b/>
          <w:bCs/>
          <w:sz w:val="24"/>
          <w:szCs w:val="24"/>
        </w:rPr>
        <w:t xml:space="preserve">Clinical Significance of the Study</w:t>
      </w:r>
    </w:p>
    <w:p>
      <w:pPr>
        <w:spacing w:after="0" w:before="0" w:line="480" w:lineRule="auto"/>
        <w:ind w:firstLine="720"/>
      </w:pPr>
      <w:r>
        <w:rPr>
          <w:rFonts w:ascii="Times New Roman" w:cs="Times New Roman" w:eastAsia="Times New Roman" w:hAnsi="Times New Roman"/>
          <w:sz w:val="24"/>
          <w:szCs w:val="24"/>
        </w:rPr>
        <w:t xml:space="preserve">This study aims to produce a brief, caregiver-reported instrument for early detection of neurocognitive disorders in middle-aged and older adults in Pakistan. Its expected contributions are described below.</w:t>
      </w:r>
    </w:p>
    <w:p>
      <w:pPr>
        <w:keepNext/>
        <w:spacing w:after="0" w:before="0" w:line="480" w:lineRule="auto"/>
        <w:jc w:val="left"/>
      </w:pPr>
      <w:r>
        <w:rPr>
          <w:rFonts w:ascii="Times New Roman" w:cs="Times New Roman" w:eastAsia="Times New Roman" w:hAnsi="Times New Roman"/>
          <w:b/>
          <w:bCs/>
          <w:sz w:val="24"/>
          <w:szCs w:val="24"/>
        </w:rPr>
        <w:t xml:space="preserve">Significance for Clinical Psychology</w:t>
      </w:r>
    </w:p>
    <w:p>
      <w:pPr>
        <w:spacing w:after="0" w:before="0" w:line="480" w:lineRule="auto"/>
        <w:ind w:firstLine="720"/>
      </w:pPr>
      <w:r>
        <w:rPr>
          <w:rFonts w:ascii="Times New Roman" w:cs="Times New Roman" w:eastAsia="Times New Roman" w:hAnsi="Times New Roman"/>
          <w:sz w:val="24"/>
          <w:szCs w:val="24"/>
        </w:rPr>
        <w:t xml:space="preserve">The tool would give clinical psychologists a structured way of gathering collateral information, one that covers function, behaviour and social change in a single instrument. It would help them decide who needs comprehensive assessment and would support more informed conversations with families.</w:t>
      </w:r>
    </w:p>
    <w:p>
      <w:pPr>
        <w:keepNext/>
        <w:spacing w:after="0" w:before="0" w:line="480" w:lineRule="auto"/>
        <w:jc w:val="left"/>
      </w:pPr>
      <w:r>
        <w:rPr>
          <w:rFonts w:ascii="Times New Roman" w:cs="Times New Roman" w:eastAsia="Times New Roman" w:hAnsi="Times New Roman"/>
          <w:b/>
          <w:bCs/>
          <w:sz w:val="24"/>
          <w:szCs w:val="24"/>
        </w:rPr>
        <w:t xml:space="preserve">Significance for Neuropsychology</w:t>
      </w:r>
    </w:p>
    <w:p>
      <w:pPr>
        <w:spacing w:after="0" w:before="0" w:line="480" w:lineRule="auto"/>
        <w:ind w:firstLine="720"/>
      </w:pPr>
      <w:r>
        <w:rPr>
          <w:rFonts w:ascii="Times New Roman" w:cs="Times New Roman" w:eastAsia="Times New Roman" w:hAnsi="Times New Roman"/>
          <w:sz w:val="24"/>
          <w:szCs w:val="24"/>
        </w:rPr>
        <w:t xml:space="preserve">The study would add local psychometric evidence, including reliability, validity, sensitivity and specificity, to a field that depends mostly on measures normed elsewhere. It would also demonstrate how functional and behavioural information can complement performance-based testing.</w:t>
      </w:r>
    </w:p>
    <w:p>
      <w:pPr>
        <w:keepNext/>
        <w:spacing w:after="0" w:before="0" w:line="480" w:lineRule="auto"/>
        <w:jc w:val="left"/>
      </w:pPr>
      <w:r>
        <w:rPr>
          <w:rFonts w:ascii="Times New Roman" w:cs="Times New Roman" w:eastAsia="Times New Roman" w:hAnsi="Times New Roman"/>
          <w:b/>
          <w:bCs/>
          <w:sz w:val="24"/>
          <w:szCs w:val="24"/>
        </w:rPr>
        <w:t xml:space="preserve">Significance for Caregivers and Families</w:t>
      </w:r>
    </w:p>
    <w:p>
      <w:pPr>
        <w:spacing w:after="0" w:before="0" w:line="480" w:lineRule="auto"/>
        <w:ind w:firstLine="720"/>
      </w:pPr>
      <w:r>
        <w:rPr>
          <w:rFonts w:ascii="Times New Roman" w:cs="Times New Roman" w:eastAsia="Times New Roman" w:hAnsi="Times New Roman"/>
          <w:sz w:val="24"/>
          <w:szCs w:val="24"/>
        </w:rPr>
        <w:t xml:space="preserve">Caregivers carry a heavy load, and their observations are too often left unrecorded (Brodaty &amp; Donkin, 2009). A structured questionnaire gives them a way to put what they see into words, and might encourage them to seek help sooner.</w:t>
      </w:r>
    </w:p>
    <w:p>
      <w:pPr>
        <w:keepNext/>
        <w:spacing w:after="0" w:before="0" w:line="480" w:lineRule="auto"/>
        <w:jc w:val="left"/>
      </w:pPr>
      <w:r>
        <w:rPr>
          <w:rFonts w:ascii="Times New Roman" w:cs="Times New Roman" w:eastAsia="Times New Roman" w:hAnsi="Times New Roman"/>
          <w:b/>
          <w:bCs/>
          <w:sz w:val="24"/>
          <w:szCs w:val="24"/>
        </w:rPr>
        <w:t xml:space="preserve">Significance for Primary Care and Community Health</w:t>
      </w:r>
    </w:p>
    <w:p>
      <w:pPr>
        <w:spacing w:after="0" w:before="0" w:line="480" w:lineRule="auto"/>
        <w:ind w:firstLine="720"/>
      </w:pPr>
      <w:r>
        <w:rPr>
          <w:rFonts w:ascii="Times New Roman" w:cs="Times New Roman" w:eastAsia="Times New Roman" w:hAnsi="Times New Roman"/>
          <w:sz w:val="24"/>
          <w:szCs w:val="24"/>
        </w:rPr>
        <w:t xml:space="preserve">A short tool that non-specialist staff can administer could support case-finding in general practice, community clinics and outreach programmes, consistent with the WHO’s approach to bringing dementia care into non-specialised settings (WHO, 2016).</w:t>
      </w:r>
    </w:p>
    <w:p>
      <w:pPr>
        <w:keepNext/>
        <w:spacing w:after="0" w:before="0" w:line="480" w:lineRule="auto"/>
        <w:jc w:val="left"/>
      </w:pPr>
      <w:r>
        <w:rPr>
          <w:rFonts w:ascii="Times New Roman" w:cs="Times New Roman" w:eastAsia="Times New Roman" w:hAnsi="Times New Roman"/>
          <w:b/>
          <w:bCs/>
          <w:sz w:val="24"/>
          <w:szCs w:val="24"/>
        </w:rPr>
        <w:t xml:space="preserve">Significance for Early Referral and Intervention</w:t>
      </w:r>
    </w:p>
    <w:p>
      <w:pPr>
        <w:spacing w:after="0" w:before="0" w:line="480" w:lineRule="auto"/>
        <w:ind w:firstLine="720"/>
      </w:pPr>
      <w:r>
        <w:rPr>
          <w:rFonts w:ascii="Times New Roman" w:cs="Times New Roman" w:eastAsia="Times New Roman" w:hAnsi="Times New Roman"/>
          <w:sz w:val="24"/>
          <w:szCs w:val="24"/>
        </w:rPr>
        <w:t xml:space="preserve">Earlier identification opens up opportunities for treatment of reversible causes, risk-factor management, and planning for care (Dubois et al., 2016; Livingston et al., 2020). A tool that helps trigger referral at the right moment supports all of these.</w:t>
      </w:r>
    </w:p>
    <w:p>
      <w:pPr>
        <w:keepNext/>
        <w:spacing w:after="0" w:before="0" w:line="480" w:lineRule="auto"/>
        <w:jc w:val="left"/>
      </w:pPr>
      <w:r>
        <w:rPr>
          <w:rFonts w:ascii="Times New Roman" w:cs="Times New Roman" w:eastAsia="Times New Roman" w:hAnsi="Times New Roman"/>
          <w:b/>
          <w:bCs/>
          <w:sz w:val="24"/>
          <w:szCs w:val="24"/>
        </w:rPr>
        <w:t xml:space="preserve">Significance for Pakistani Research</w:t>
      </w:r>
    </w:p>
    <w:p>
      <w:pPr>
        <w:spacing w:after="0" w:before="0" w:line="480" w:lineRule="auto"/>
        <w:ind w:firstLine="720"/>
      </w:pPr>
      <w:r>
        <w:rPr>
          <w:rFonts w:ascii="Times New Roman" w:cs="Times New Roman" w:eastAsia="Times New Roman" w:hAnsi="Times New Roman"/>
          <w:sz w:val="24"/>
          <w:szCs w:val="24"/>
        </w:rPr>
        <w:t xml:space="preserve">Finally, the study would contribute a locally developed instrument to a research area with very little existing work in Pakistan. It could serve as a basis for future prevalence studies, cross-regional comparison and further adaptation into other languages.</w:t>
      </w:r>
    </w:p>
    <w:p>
      <w:pPr>
        <w:keepNext/>
        <w:spacing w:after="0" w:before="0" w:line="480" w:lineRule="auto"/>
        <w:jc w:val="center"/>
      </w:pPr>
      <w:r>
        <w:rPr>
          <w:rFonts w:ascii="Times New Roman" w:cs="Times New Roman" w:eastAsia="Times New Roman" w:hAnsi="Times New Roman"/>
          <w:b/>
          <w:bCs/>
          <w:sz w:val="24"/>
          <w:szCs w:val="24"/>
        </w:rPr>
        <w:t xml:space="preserve">Problem Statement</w:t>
      </w:r>
    </w:p>
    <w:p>
      <w:pPr>
        <w:spacing w:after="0" w:before="0" w:line="480" w:lineRule="auto"/>
        <w:ind w:firstLine="720"/>
      </w:pPr>
      <w:r>
        <w:rPr>
          <w:rFonts w:ascii="Times New Roman" w:cs="Times New Roman" w:eastAsia="Times New Roman" w:hAnsi="Times New Roman"/>
          <w:sz w:val="24"/>
          <w:szCs w:val="24"/>
        </w:rPr>
        <w:t xml:space="preserve">Neurocognitive disorders are increasing worldwide, and countries like Pakistan will feel much of that increase (Nichols et al., 2022; WHO, 2021a). Early detection is important, but the screening measures currently available depend heavily on education, literacy and cultural familiarity, do not adequately capture functional, behavioural and social change, and require a cooperative examinee and trained personnel. In Pakistan, specialist services are scarce, stigma delays help-seeking, and families are often the only ones who notice the first changes. Despite this, there does not appear to be a culturally appropriate, caregiver-reported screening tool that has been developed and validated for local use. The present study therefore addresses the question of whether a caregiver-reported tool can be developed that reliably and validly screens for early neurocognitive decline in middle-aged and older adults in Pakistan.</w:t>
      </w:r>
    </w:p>
    <w:p>
      <w:pPr>
        <w:keepNext/>
        <w:spacing w:after="0" w:before="0" w:line="480" w:lineRule="auto"/>
        <w:jc w:val="center"/>
      </w:pPr>
      <w:r>
        <w:rPr>
          <w:rFonts w:ascii="Times New Roman" w:cs="Times New Roman" w:eastAsia="Times New Roman" w:hAnsi="Times New Roman"/>
          <w:b/>
          <w:bCs/>
          <w:sz w:val="24"/>
          <w:szCs w:val="24"/>
        </w:rPr>
        <w:t xml:space="preserve">Operational Definitions</w:t>
      </w:r>
    </w:p>
    <w:p>
      <w:pPr>
        <w:keepNext/>
        <w:spacing w:after="0" w:before="0" w:line="480" w:lineRule="auto"/>
        <w:jc w:val="left"/>
      </w:pPr>
      <w:r>
        <w:rPr>
          <w:rFonts w:ascii="Times New Roman" w:cs="Times New Roman" w:eastAsia="Times New Roman" w:hAnsi="Times New Roman"/>
          <w:b/>
          <w:bCs/>
          <w:sz w:val="24"/>
          <w:szCs w:val="24"/>
        </w:rPr>
        <w:t xml:space="preserve">Neurocognitive Disorders</w:t>
      </w:r>
    </w:p>
    <w:p>
      <w:pPr>
        <w:spacing w:after="0" w:before="0" w:line="480" w:lineRule="auto"/>
        <w:ind w:firstLine="720"/>
      </w:pPr>
      <w:r>
        <w:rPr>
          <w:rFonts w:ascii="Times New Roman" w:cs="Times New Roman" w:eastAsia="Times New Roman" w:hAnsi="Times New Roman"/>
          <w:sz w:val="24"/>
          <w:szCs w:val="24"/>
        </w:rPr>
        <w:t xml:space="preserve">In this study, neurocognitive disorders refer to acquired conditions marked by decline in one or more cognitive domains, in both mild and major forms, as described in the DSM-5 (APA, 2013).</w:t>
      </w:r>
    </w:p>
    <w:p>
      <w:pPr>
        <w:keepNext/>
        <w:spacing w:after="0" w:before="0" w:line="480" w:lineRule="auto"/>
        <w:jc w:val="left"/>
      </w:pPr>
      <w:r>
        <w:rPr>
          <w:rFonts w:ascii="Times New Roman" w:cs="Times New Roman" w:eastAsia="Times New Roman" w:hAnsi="Times New Roman"/>
          <w:b/>
          <w:bCs/>
          <w:sz w:val="24"/>
          <w:szCs w:val="24"/>
        </w:rPr>
        <w:t xml:space="preserve">Early Cognitive Decline</w:t>
      </w:r>
    </w:p>
    <w:p>
      <w:pPr>
        <w:spacing w:after="0" w:before="0" w:line="480" w:lineRule="auto"/>
        <w:ind w:firstLine="720"/>
      </w:pPr>
      <w:r>
        <w:rPr>
          <w:rFonts w:ascii="Times New Roman" w:cs="Times New Roman" w:eastAsia="Times New Roman" w:hAnsi="Times New Roman"/>
          <w:sz w:val="24"/>
          <w:szCs w:val="24"/>
        </w:rPr>
        <w:t xml:space="preserve">Early cognitive decline refers to noticeable change in memory, thinking, daily functioning or behaviour that has not yet reached the level of major neurocognitive disorder, and is identified through caregiver observation.</w:t>
      </w:r>
    </w:p>
    <w:p>
      <w:pPr>
        <w:keepNext/>
        <w:spacing w:after="0" w:before="0" w:line="480" w:lineRule="auto"/>
        <w:jc w:val="left"/>
      </w:pPr>
      <w:r>
        <w:rPr>
          <w:rFonts w:ascii="Times New Roman" w:cs="Times New Roman" w:eastAsia="Times New Roman" w:hAnsi="Times New Roman"/>
          <w:b/>
          <w:bCs/>
          <w:sz w:val="24"/>
          <w:szCs w:val="24"/>
        </w:rPr>
        <w:t xml:space="preserve">Neurocognitive Screening</w:t>
      </w:r>
    </w:p>
    <w:p>
      <w:pPr>
        <w:spacing w:after="0" w:before="0" w:line="480" w:lineRule="auto"/>
        <w:ind w:firstLine="720"/>
      </w:pPr>
      <w:r>
        <w:rPr>
          <w:rFonts w:ascii="Times New Roman" w:cs="Times New Roman" w:eastAsia="Times New Roman" w:hAnsi="Times New Roman"/>
          <w:sz w:val="24"/>
          <w:szCs w:val="24"/>
        </w:rPr>
        <w:t xml:space="preserve">Neurocognitive screening is a brief, structured procedure used to identify people who may need further evaluation for cognitive impairment. It is not a diagnostic procedure (Cullen et al., 2007).</w:t>
      </w:r>
    </w:p>
    <w:p>
      <w:pPr>
        <w:keepNext/>
        <w:spacing w:after="0" w:before="0" w:line="480" w:lineRule="auto"/>
        <w:jc w:val="left"/>
      </w:pPr>
      <w:r>
        <w:rPr>
          <w:rFonts w:ascii="Times New Roman" w:cs="Times New Roman" w:eastAsia="Times New Roman" w:hAnsi="Times New Roman"/>
          <w:b/>
          <w:bCs/>
          <w:sz w:val="24"/>
          <w:szCs w:val="24"/>
        </w:rPr>
        <w:t xml:space="preserve">Caregiver-Reported Screening</w:t>
      </w:r>
    </w:p>
    <w:p>
      <w:pPr>
        <w:spacing w:after="0" w:before="0" w:line="480" w:lineRule="auto"/>
        <w:ind w:firstLine="720"/>
      </w:pPr>
      <w:r>
        <w:rPr>
          <w:rFonts w:ascii="Times New Roman" w:cs="Times New Roman" w:eastAsia="Times New Roman" w:hAnsi="Times New Roman"/>
          <w:sz w:val="24"/>
          <w:szCs w:val="24"/>
        </w:rPr>
        <w:t xml:space="preserve">Caregiver-reported screening refers to screening in which the information is provided by a caregiver, on a structured questionnaire, about the functional, behavioural and social changes noticed in the person receiving care. It is operationalised here as scores on the tool developed in this study.</w:t>
      </w:r>
    </w:p>
    <w:p>
      <w:pPr>
        <w:keepNext/>
        <w:spacing w:after="0" w:before="0" w:line="480" w:lineRule="auto"/>
        <w:jc w:val="left"/>
      </w:pPr>
      <w:r>
        <w:rPr>
          <w:rFonts w:ascii="Times New Roman" w:cs="Times New Roman" w:eastAsia="Times New Roman" w:hAnsi="Times New Roman"/>
          <w:b/>
          <w:bCs/>
          <w:sz w:val="24"/>
          <w:szCs w:val="24"/>
        </w:rPr>
        <w:t xml:space="preserve">Caregiver</w:t>
      </w:r>
    </w:p>
    <w:p>
      <w:pPr>
        <w:spacing w:after="0" w:before="0" w:line="480" w:lineRule="auto"/>
        <w:ind w:firstLine="720"/>
      </w:pPr>
      <w:r>
        <w:rPr>
          <w:rFonts w:ascii="Times New Roman" w:cs="Times New Roman" w:eastAsia="Times New Roman" w:hAnsi="Times New Roman"/>
          <w:sz w:val="24"/>
          <w:szCs w:val="24"/>
        </w:rPr>
        <w:t xml:space="preserve">A caregiver is a family member or other adult who has regular daily contact with the older or middle-aged person and is involved in their care or supervision, and who has known the person for long enough to notice change.</w:t>
      </w:r>
    </w:p>
    <w:p>
      <w:pPr>
        <w:keepNext/>
        <w:spacing w:after="0" w:before="0" w:line="480" w:lineRule="auto"/>
        <w:jc w:val="left"/>
      </w:pPr>
      <w:r>
        <w:rPr>
          <w:rFonts w:ascii="Times New Roman" w:cs="Times New Roman" w:eastAsia="Times New Roman" w:hAnsi="Times New Roman"/>
          <w:b/>
          <w:bCs/>
          <w:sz w:val="24"/>
          <w:szCs w:val="24"/>
        </w:rPr>
        <w:t xml:space="preserve">Middle-Aged Adults</w:t>
      </w:r>
    </w:p>
    <w:p>
      <w:pPr>
        <w:spacing w:after="0" w:before="0" w:line="480" w:lineRule="auto"/>
        <w:ind w:firstLine="720"/>
      </w:pPr>
      <w:r>
        <w:rPr>
          <w:rFonts w:ascii="Times New Roman" w:cs="Times New Roman" w:eastAsia="Times New Roman" w:hAnsi="Times New Roman"/>
          <w:sz w:val="24"/>
          <w:szCs w:val="24"/>
        </w:rPr>
        <w:t xml:space="preserve">Middle-aged adults are individuals aged 40 to 59 years.</w:t>
      </w:r>
    </w:p>
    <w:p>
      <w:pPr>
        <w:keepNext/>
        <w:spacing w:after="0" w:before="0" w:line="480" w:lineRule="auto"/>
        <w:jc w:val="left"/>
      </w:pPr>
      <w:r>
        <w:rPr>
          <w:rFonts w:ascii="Times New Roman" w:cs="Times New Roman" w:eastAsia="Times New Roman" w:hAnsi="Times New Roman"/>
          <w:b/>
          <w:bCs/>
          <w:sz w:val="24"/>
          <w:szCs w:val="24"/>
        </w:rPr>
        <w:t xml:space="preserve">Older Adults</w:t>
      </w:r>
    </w:p>
    <w:p>
      <w:pPr>
        <w:spacing w:after="0" w:before="0" w:line="480" w:lineRule="auto"/>
        <w:ind w:firstLine="720"/>
      </w:pPr>
      <w:r>
        <w:rPr>
          <w:rFonts w:ascii="Times New Roman" w:cs="Times New Roman" w:eastAsia="Times New Roman" w:hAnsi="Times New Roman"/>
          <w:sz w:val="24"/>
          <w:szCs w:val="24"/>
        </w:rPr>
        <w:t xml:space="preserve">Older adults are individuals aged 60 years and above.</w:t>
      </w:r>
    </w:p>
    <w:p>
      <w:pPr>
        <w:keepNext/>
        <w:spacing w:after="0" w:before="0" w:line="480" w:lineRule="auto"/>
        <w:jc w:val="left"/>
      </w:pPr>
      <w:r>
        <w:rPr>
          <w:rFonts w:ascii="Times New Roman" w:cs="Times New Roman" w:eastAsia="Times New Roman" w:hAnsi="Times New Roman"/>
          <w:b/>
          <w:bCs/>
          <w:sz w:val="24"/>
          <w:szCs w:val="24"/>
        </w:rPr>
        <w:t xml:space="preserve">Cognitive Functioning</w:t>
      </w:r>
    </w:p>
    <w:p>
      <w:pPr>
        <w:spacing w:after="0" w:before="0" w:line="480" w:lineRule="auto"/>
        <w:ind w:firstLine="720"/>
      </w:pPr>
      <w:r>
        <w:rPr>
          <w:rFonts w:ascii="Times New Roman" w:cs="Times New Roman" w:eastAsia="Times New Roman" w:hAnsi="Times New Roman"/>
          <w:sz w:val="24"/>
          <w:szCs w:val="24"/>
        </w:rPr>
        <w:t xml:space="preserve">Cognitive functioning refers to mental abilities such as memory, attention, language, orientation, reasoning and planning, as reported by the caregiver on the tool.</w:t>
      </w:r>
    </w:p>
    <w:p>
      <w:pPr>
        <w:keepNext/>
        <w:spacing w:after="0" w:before="0" w:line="480" w:lineRule="auto"/>
        <w:jc w:val="left"/>
      </w:pPr>
      <w:r>
        <w:rPr>
          <w:rFonts w:ascii="Times New Roman" w:cs="Times New Roman" w:eastAsia="Times New Roman" w:hAnsi="Times New Roman"/>
          <w:b/>
          <w:bCs/>
          <w:sz w:val="24"/>
          <w:szCs w:val="24"/>
        </w:rPr>
        <w:t xml:space="preserve">Functional Decline</w:t>
      </w:r>
    </w:p>
    <w:p>
      <w:pPr>
        <w:spacing w:after="0" w:before="0" w:line="480" w:lineRule="auto"/>
        <w:ind w:firstLine="720"/>
      </w:pPr>
      <w:r>
        <w:rPr>
          <w:rFonts w:ascii="Times New Roman" w:cs="Times New Roman" w:eastAsia="Times New Roman" w:hAnsi="Times New Roman"/>
          <w:sz w:val="24"/>
          <w:szCs w:val="24"/>
        </w:rPr>
        <w:t xml:space="preserve">Functional decline refers to a reduction in the ability to carry out instrumental and basic daily activities independently, in comparison with the person’s earlier level (Lawton &amp; Brody, 1969).</w:t>
      </w:r>
    </w:p>
    <w:p>
      <w:r>
        <w:br w:type="page"/>
      </w:r>
    </w:p>
    <w:p>
      <w:pPr>
        <w:spacing w:after="0" w:before="0" w:line="480" w:lineRule="auto"/>
        <w:jc w:val="center"/>
      </w:pPr>
      <w:r>
        <w:rPr>
          <w:rFonts w:ascii="Times New Roman" w:cs="Times New Roman" w:eastAsia="Times New Roman" w:hAnsi="Times New Roman"/>
          <w:b/>
          <w:bCs/>
          <w:sz w:val="24"/>
          <w:szCs w:val="24"/>
        </w:rPr>
        <w:t xml:space="preserve">References</w:t>
      </w:r>
    </w:p>
    <w:p>
      <w:pPr>
        <w:spacing w:after="0" w:before="0" w:line="480" w:lineRule="auto"/>
        <w:ind w:left="720" w:hanging="720"/>
      </w:pPr>
      <w:r>
        <w:rPr>
          <w:rFonts w:ascii="Times New Roman" w:cs="Times New Roman" w:eastAsia="Times New Roman" w:hAnsi="Times New Roman"/>
          <w:sz w:val="24"/>
          <w:szCs w:val="24"/>
        </w:rPr>
        <w:t xml:space="preserve">American Psychiatric Association. (2013). </w:t>
      </w:r>
      <w:r>
        <w:rPr>
          <w:rFonts w:ascii="Times New Roman" w:cs="Times New Roman" w:eastAsia="Times New Roman" w:hAnsi="Times New Roman"/>
          <w:i/>
          <w:iCs/>
          <w:sz w:val="24"/>
          <w:szCs w:val="24"/>
        </w:rPr>
        <w:t xml:space="preserve">Diagnostic and statistical manual of mental disorders</w:t>
      </w:r>
      <w:r>
        <w:rPr>
          <w:rFonts w:ascii="Times New Roman" w:cs="Times New Roman" w:eastAsia="Times New Roman" w:hAnsi="Times New Roman"/>
          <w:sz w:val="24"/>
          <w:szCs w:val="24"/>
        </w:rPr>
        <w:t xml:space="preserve"> (5th ed.). https://doi.org/10.1176/appi.books.9780890425596</w:t>
      </w:r>
    </w:p>
    <w:p>
      <w:pPr>
        <w:spacing w:after="0" w:before="0" w:line="480" w:lineRule="auto"/>
        <w:ind w:left="720" w:hanging="720"/>
      </w:pPr>
      <w:r>
        <w:rPr>
          <w:rFonts w:ascii="Times New Roman" w:cs="Times New Roman" w:eastAsia="Times New Roman" w:hAnsi="Times New Roman"/>
          <w:sz w:val="24"/>
          <w:szCs w:val="24"/>
        </w:rPr>
        <w:t xml:space="preserve">Ardila, A., Bertolucci, P. H., Braga, L. W., Castro-Caldas, A., Judd, T., Kosmidis, M. H., Matute, E., Nitrini, R., Ostrosky-Solis, F., &amp; Rosselli, M. (2010). Illiteracy: The neuropsychology of cognition without reading. </w:t>
      </w:r>
      <w:r>
        <w:rPr>
          <w:rFonts w:ascii="Times New Roman" w:cs="Times New Roman" w:eastAsia="Times New Roman" w:hAnsi="Times New Roman"/>
          <w:i/>
          <w:iCs/>
          <w:sz w:val="24"/>
          <w:szCs w:val="24"/>
        </w:rPr>
        <w:t xml:space="preserve">Archives of Clinical Neuropsychology, 25</w:t>
      </w:r>
      <w:r>
        <w:rPr>
          <w:rFonts w:ascii="Times New Roman" w:cs="Times New Roman" w:eastAsia="Times New Roman" w:hAnsi="Times New Roman"/>
          <w:sz w:val="24"/>
          <w:szCs w:val="24"/>
        </w:rPr>
        <w:t xml:space="preserve">(8), 689–712. https://doi.org/10.1093/arclin/acq079</w:t>
      </w:r>
    </w:p>
    <w:p>
      <w:pPr>
        <w:spacing w:after="0" w:before="0" w:line="480" w:lineRule="auto"/>
        <w:ind w:left="720" w:hanging="720"/>
      </w:pPr>
      <w:r>
        <w:rPr>
          <w:rFonts w:ascii="Times New Roman" w:cs="Times New Roman" w:eastAsia="Times New Roman" w:hAnsi="Times New Roman"/>
          <w:sz w:val="24"/>
          <w:szCs w:val="24"/>
        </w:rPr>
        <w:t xml:space="preserve">Ayalon, L., &amp; Areán, P. A. (2004). Knowledge of Alzheimer’s disease in four ethnic groups of older adults. </w:t>
      </w:r>
      <w:r>
        <w:rPr>
          <w:rFonts w:ascii="Times New Roman" w:cs="Times New Roman" w:eastAsia="Times New Roman" w:hAnsi="Times New Roman"/>
          <w:i/>
          <w:iCs/>
          <w:sz w:val="24"/>
          <w:szCs w:val="24"/>
        </w:rPr>
        <w:t xml:space="preserve">International Journal of Geriatric Psychiatry, 19</w:t>
      </w:r>
      <w:r>
        <w:rPr>
          <w:rFonts w:ascii="Times New Roman" w:cs="Times New Roman" w:eastAsia="Times New Roman" w:hAnsi="Times New Roman"/>
          <w:sz w:val="24"/>
          <w:szCs w:val="24"/>
        </w:rPr>
        <w:t xml:space="preserve">(1), 51–57.</w:t>
      </w:r>
    </w:p>
    <w:p>
      <w:pPr>
        <w:spacing w:after="0" w:before="0" w:line="480" w:lineRule="auto"/>
        <w:ind w:left="720" w:hanging="720"/>
      </w:pPr>
      <w:r>
        <w:rPr>
          <w:rFonts w:ascii="Times New Roman" w:cs="Times New Roman" w:eastAsia="Times New Roman" w:hAnsi="Times New Roman"/>
          <w:sz w:val="24"/>
          <w:szCs w:val="24"/>
        </w:rPr>
        <w:t xml:space="preserve">Balsis, S., Carpenter, B. D., &amp; Storandt, M. (2005). Personality change precedes clinical diagnosis of dementia of the Alzheimer type. </w:t>
      </w:r>
      <w:r>
        <w:rPr>
          <w:rFonts w:ascii="Times New Roman" w:cs="Times New Roman" w:eastAsia="Times New Roman" w:hAnsi="Times New Roman"/>
          <w:i/>
          <w:iCs/>
          <w:sz w:val="24"/>
          <w:szCs w:val="24"/>
        </w:rPr>
        <w:t xml:space="preserve">The Journals of Gerontology: Series B, 60</w:t>
      </w:r>
      <w:r>
        <w:rPr>
          <w:rFonts w:ascii="Times New Roman" w:cs="Times New Roman" w:eastAsia="Times New Roman" w:hAnsi="Times New Roman"/>
          <w:sz w:val="24"/>
          <w:szCs w:val="24"/>
        </w:rPr>
        <w:t xml:space="preserve">(2), P98–P101.</w:t>
      </w:r>
    </w:p>
    <w:p>
      <w:pPr>
        <w:spacing w:after="0" w:before="0" w:line="480" w:lineRule="auto"/>
        <w:ind w:left="720" w:hanging="720"/>
      </w:pPr>
      <w:r>
        <w:rPr>
          <w:rFonts w:ascii="Times New Roman" w:cs="Times New Roman" w:eastAsia="Times New Roman" w:hAnsi="Times New Roman"/>
          <w:sz w:val="24"/>
          <w:szCs w:val="24"/>
        </w:rPr>
        <w:t xml:space="preserve">Batsch, N. L., &amp; Mittelman, M. S. (2012). </w:t>
      </w:r>
      <w:r>
        <w:rPr>
          <w:rFonts w:ascii="Times New Roman" w:cs="Times New Roman" w:eastAsia="Times New Roman" w:hAnsi="Times New Roman"/>
          <w:i/>
          <w:iCs/>
          <w:sz w:val="24"/>
          <w:szCs w:val="24"/>
        </w:rPr>
        <w:t xml:space="preserve">World Alzheimer Report 2012: Overcoming the stigma of dementia</w:t>
      </w:r>
      <w:r>
        <w:rPr>
          <w:rFonts w:ascii="Times New Roman" w:cs="Times New Roman" w:eastAsia="Times New Roman" w:hAnsi="Times New Roman"/>
          <w:sz w:val="24"/>
          <w:szCs w:val="24"/>
        </w:rPr>
        <w:t xml:space="preserve">. Alzheimer’s Disease International.</w:t>
      </w:r>
    </w:p>
    <w:p>
      <w:pPr>
        <w:spacing w:after="0" w:before="0" w:line="480" w:lineRule="auto"/>
        <w:ind w:left="720" w:hanging="720"/>
      </w:pPr>
      <w:r>
        <w:rPr>
          <w:rFonts w:ascii="Times New Roman" w:cs="Times New Roman" w:eastAsia="Times New Roman" w:hAnsi="Times New Roman"/>
          <w:sz w:val="24"/>
          <w:szCs w:val="24"/>
        </w:rPr>
        <w:t xml:space="preserve">Borson, S., Frank, L., Bayley, P. J., Boustani, M., Dean, M., Lin, P.-J., McCarten, J. R., Morris, J. C., Salmon, D. P., Schmitt, F. A., Stefanacci, R. G., Mendiondo, M. S., Peschin, S., Hall, E., Fillit, H., &amp; Ashford, J. W. (2013). Improving dementia care: The role of screening and detection of cognitive impairment. </w:t>
      </w:r>
      <w:r>
        <w:rPr>
          <w:rFonts w:ascii="Times New Roman" w:cs="Times New Roman" w:eastAsia="Times New Roman" w:hAnsi="Times New Roman"/>
          <w:i/>
          <w:iCs/>
          <w:sz w:val="24"/>
          <w:szCs w:val="24"/>
        </w:rPr>
        <w:t xml:space="preserve">Alzheimer’s &amp; Dementia, 9</w:t>
      </w:r>
      <w:r>
        <w:rPr>
          <w:rFonts w:ascii="Times New Roman" w:cs="Times New Roman" w:eastAsia="Times New Roman" w:hAnsi="Times New Roman"/>
          <w:sz w:val="24"/>
          <w:szCs w:val="24"/>
        </w:rPr>
        <w:t xml:space="preserve">(2), 151–159. https://doi.org/10.1016/j.jalz.2012.08.008</w:t>
      </w:r>
    </w:p>
    <w:p>
      <w:pPr>
        <w:spacing w:after="0" w:before="0" w:line="480" w:lineRule="auto"/>
        <w:ind w:left="720" w:hanging="720"/>
      </w:pPr>
      <w:r>
        <w:rPr>
          <w:rFonts w:ascii="Times New Roman" w:cs="Times New Roman" w:eastAsia="Times New Roman" w:hAnsi="Times New Roman"/>
          <w:sz w:val="24"/>
          <w:szCs w:val="24"/>
        </w:rPr>
        <w:t xml:space="preserve">Brodaty, H., &amp; Donkin, M. (2009). Family caregivers of people with dementia. </w:t>
      </w:r>
      <w:r>
        <w:rPr>
          <w:rFonts w:ascii="Times New Roman" w:cs="Times New Roman" w:eastAsia="Times New Roman" w:hAnsi="Times New Roman"/>
          <w:i/>
          <w:iCs/>
          <w:sz w:val="24"/>
          <w:szCs w:val="24"/>
        </w:rPr>
        <w:t xml:space="preserve">Dialogues in Clinical Neuroscience, 11</w:t>
      </w:r>
      <w:r>
        <w:rPr>
          <w:rFonts w:ascii="Times New Roman" w:cs="Times New Roman" w:eastAsia="Times New Roman" w:hAnsi="Times New Roman"/>
          <w:sz w:val="24"/>
          <w:szCs w:val="24"/>
        </w:rPr>
        <w:t xml:space="preserve">(2), 217–228.</w:t>
      </w:r>
    </w:p>
    <w:p>
      <w:pPr>
        <w:spacing w:after="0" w:before="0" w:line="480" w:lineRule="auto"/>
        <w:ind w:left="720" w:hanging="720"/>
      </w:pPr>
      <w:r>
        <w:rPr>
          <w:rFonts w:ascii="Times New Roman" w:cs="Times New Roman" w:eastAsia="Times New Roman" w:hAnsi="Times New Roman"/>
          <w:sz w:val="24"/>
          <w:szCs w:val="24"/>
        </w:rPr>
        <w:t xml:space="preserve">Byers, A. L., &amp; Yaffe, K. (2011). Depression and risk of developing dementia. </w:t>
      </w:r>
      <w:r>
        <w:rPr>
          <w:rFonts w:ascii="Times New Roman" w:cs="Times New Roman" w:eastAsia="Times New Roman" w:hAnsi="Times New Roman"/>
          <w:i/>
          <w:iCs/>
          <w:sz w:val="24"/>
          <w:szCs w:val="24"/>
        </w:rPr>
        <w:t xml:space="preserve">Nature Reviews Neurology, 7</w:t>
      </w:r>
      <w:r>
        <w:rPr>
          <w:rFonts w:ascii="Times New Roman" w:cs="Times New Roman" w:eastAsia="Times New Roman" w:hAnsi="Times New Roman"/>
          <w:sz w:val="24"/>
          <w:szCs w:val="24"/>
        </w:rPr>
        <w:t xml:space="preserve">(6), 323–331. https://doi.org/10.1038/nrneurol.2011.60</w:t>
      </w:r>
    </w:p>
    <w:p>
      <w:pPr>
        <w:spacing w:after="0" w:before="0" w:line="480" w:lineRule="auto"/>
        <w:ind w:left="720" w:hanging="720"/>
      </w:pPr>
      <w:r>
        <w:rPr>
          <w:rFonts w:ascii="Times New Roman" w:cs="Times New Roman" w:eastAsia="Times New Roman" w:hAnsi="Times New Roman"/>
          <w:sz w:val="24"/>
          <w:szCs w:val="24"/>
        </w:rPr>
        <w:t xml:space="preserve">Cacchione, P. Z., Powlishta, K. K., Grant, E. A., Buckles, V. D., &amp; Morris, J. C. (2003). Accuracy of collateral source reports in very mild to mild dementia. </w:t>
      </w:r>
      <w:r>
        <w:rPr>
          <w:rFonts w:ascii="Times New Roman" w:cs="Times New Roman" w:eastAsia="Times New Roman" w:hAnsi="Times New Roman"/>
          <w:i/>
          <w:iCs/>
          <w:sz w:val="24"/>
          <w:szCs w:val="24"/>
        </w:rPr>
        <w:t xml:space="preserve">Journal of the American Geriatrics Society, 51</w:t>
      </w:r>
      <w:r>
        <w:rPr>
          <w:rFonts w:ascii="Times New Roman" w:cs="Times New Roman" w:eastAsia="Times New Roman" w:hAnsi="Times New Roman"/>
          <w:sz w:val="24"/>
          <w:szCs w:val="24"/>
        </w:rPr>
        <w:t xml:space="preserve">(6), 819–823.</w:t>
      </w:r>
    </w:p>
    <w:p>
      <w:pPr>
        <w:spacing w:after="0" w:before="0" w:line="480" w:lineRule="auto"/>
        <w:ind w:left="720" w:hanging="720"/>
      </w:pPr>
      <w:r>
        <w:rPr>
          <w:rFonts w:ascii="Times New Roman" w:cs="Times New Roman" w:eastAsia="Times New Roman" w:hAnsi="Times New Roman"/>
          <w:sz w:val="24"/>
          <w:szCs w:val="24"/>
        </w:rPr>
        <w:t xml:space="preserve">Carr, D. B., Gray, S., Baty, J., &amp; Morris, J. C. (2000). The value of informant versus individual’s complaints of memory impairment in early dementia. </w:t>
      </w:r>
      <w:r>
        <w:rPr>
          <w:rFonts w:ascii="Times New Roman" w:cs="Times New Roman" w:eastAsia="Times New Roman" w:hAnsi="Times New Roman"/>
          <w:i/>
          <w:iCs/>
          <w:sz w:val="24"/>
          <w:szCs w:val="24"/>
        </w:rPr>
        <w:t xml:space="preserve">Neurology, 55</w:t>
      </w:r>
      <w:r>
        <w:rPr>
          <w:rFonts w:ascii="Times New Roman" w:cs="Times New Roman" w:eastAsia="Times New Roman" w:hAnsi="Times New Roman"/>
          <w:sz w:val="24"/>
          <w:szCs w:val="24"/>
        </w:rPr>
        <w:t xml:space="preserve">(11), 1724–1726.</w:t>
      </w:r>
    </w:p>
    <w:p>
      <w:pPr>
        <w:spacing w:after="0" w:before="0" w:line="480" w:lineRule="auto"/>
        <w:ind w:left="720" w:hanging="720"/>
      </w:pPr>
      <w:r>
        <w:rPr>
          <w:rFonts w:ascii="Times New Roman" w:cs="Times New Roman" w:eastAsia="Times New Roman" w:hAnsi="Times New Roman"/>
          <w:sz w:val="24"/>
          <w:szCs w:val="24"/>
        </w:rPr>
        <w:t xml:space="preserve">Cordell, C. B., Borson, S., Boustani, M., Chodosh, J., Reuben, D., Verghese, J., Thies, W., &amp; Fried, L. B. (2013). Alzheimer’s Association recommendations for operationalizing the detection of cognitive impairment during the Medicare Annual Wellness Visit in a primary care setting. </w:t>
      </w:r>
      <w:r>
        <w:rPr>
          <w:rFonts w:ascii="Times New Roman" w:cs="Times New Roman" w:eastAsia="Times New Roman" w:hAnsi="Times New Roman"/>
          <w:i/>
          <w:iCs/>
          <w:sz w:val="24"/>
          <w:szCs w:val="24"/>
        </w:rPr>
        <w:t xml:space="preserve">Alzheimer’s &amp; Dementia, 9</w:t>
      </w:r>
      <w:r>
        <w:rPr>
          <w:rFonts w:ascii="Times New Roman" w:cs="Times New Roman" w:eastAsia="Times New Roman" w:hAnsi="Times New Roman"/>
          <w:sz w:val="24"/>
          <w:szCs w:val="24"/>
        </w:rPr>
        <w:t xml:space="preserve">(2), 141–150.</w:t>
      </w:r>
    </w:p>
    <w:p>
      <w:pPr>
        <w:spacing w:after="0" w:before="0" w:line="480" w:lineRule="auto"/>
        <w:ind w:left="720" w:hanging="720"/>
      </w:pPr>
      <w:r>
        <w:rPr>
          <w:rFonts w:ascii="Times New Roman" w:cs="Times New Roman" w:eastAsia="Times New Roman" w:hAnsi="Times New Roman"/>
          <w:sz w:val="24"/>
          <w:szCs w:val="24"/>
        </w:rPr>
        <w:t xml:space="preserve">Crum, R. M., Anthony, J. C., Bassett, S. S., &amp; Folstein, M. F. (1993). Population-based norms for the Mini-Mental State Examination by age and educational level. </w:t>
      </w:r>
      <w:r>
        <w:rPr>
          <w:rFonts w:ascii="Times New Roman" w:cs="Times New Roman" w:eastAsia="Times New Roman" w:hAnsi="Times New Roman"/>
          <w:i/>
          <w:iCs/>
          <w:sz w:val="24"/>
          <w:szCs w:val="24"/>
        </w:rPr>
        <w:t xml:space="preserve">JAMA, 269</w:t>
      </w:r>
      <w:r>
        <w:rPr>
          <w:rFonts w:ascii="Times New Roman" w:cs="Times New Roman" w:eastAsia="Times New Roman" w:hAnsi="Times New Roman"/>
          <w:sz w:val="24"/>
          <w:szCs w:val="24"/>
        </w:rPr>
        <w:t xml:space="preserve">(18), 2386–2391.</w:t>
      </w:r>
    </w:p>
    <w:p>
      <w:pPr>
        <w:spacing w:after="0" w:before="0" w:line="480" w:lineRule="auto"/>
        <w:ind w:left="720" w:hanging="720"/>
      </w:pPr>
      <w:r>
        <w:rPr>
          <w:rFonts w:ascii="Times New Roman" w:cs="Times New Roman" w:eastAsia="Times New Roman" w:hAnsi="Times New Roman"/>
          <w:sz w:val="24"/>
          <w:szCs w:val="24"/>
        </w:rPr>
        <w:t xml:space="preserve">Cullen, B., O’Neill, B., Evans, J. J., Coen, R. F., &amp; Lawlor, B. A. (2007). A review of screening tests for cognitive impairment. </w:t>
      </w:r>
      <w:r>
        <w:rPr>
          <w:rFonts w:ascii="Times New Roman" w:cs="Times New Roman" w:eastAsia="Times New Roman" w:hAnsi="Times New Roman"/>
          <w:i/>
          <w:iCs/>
          <w:sz w:val="24"/>
          <w:szCs w:val="24"/>
        </w:rPr>
        <w:t xml:space="preserve">Journal of Neurology, Neurosurgery &amp; Psychiatry, 78</w:t>
      </w:r>
      <w:r>
        <w:rPr>
          <w:rFonts w:ascii="Times New Roman" w:cs="Times New Roman" w:eastAsia="Times New Roman" w:hAnsi="Times New Roman"/>
          <w:sz w:val="24"/>
          <w:szCs w:val="24"/>
        </w:rPr>
        <w:t xml:space="preserve">(8), 790–799. https://doi.org/10.1136/jnnp.2006.095414</w:t>
      </w:r>
    </w:p>
    <w:p>
      <w:pPr>
        <w:spacing w:after="0" w:before="0" w:line="480" w:lineRule="auto"/>
        <w:ind w:left="720" w:hanging="720"/>
      </w:pPr>
      <w:r>
        <w:rPr>
          <w:rFonts w:ascii="Times New Roman" w:cs="Times New Roman" w:eastAsia="Times New Roman" w:hAnsi="Times New Roman"/>
          <w:sz w:val="24"/>
          <w:szCs w:val="24"/>
        </w:rPr>
        <w:t xml:space="preserve">Cummings, J. L., Mega, M., Gray, K., Rosenberg-Thompson, S., Carusi, D. A., &amp; Gornbein, J. (1994). The Neuropsychiatric Inventory: Comprehensive assessment of psychopathology in dementia. </w:t>
      </w:r>
      <w:r>
        <w:rPr>
          <w:rFonts w:ascii="Times New Roman" w:cs="Times New Roman" w:eastAsia="Times New Roman" w:hAnsi="Times New Roman"/>
          <w:i/>
          <w:iCs/>
          <w:sz w:val="24"/>
          <w:szCs w:val="24"/>
        </w:rPr>
        <w:t xml:space="preserve">Neurology, 44</w:t>
      </w:r>
      <w:r>
        <w:rPr>
          <w:rFonts w:ascii="Times New Roman" w:cs="Times New Roman" w:eastAsia="Times New Roman" w:hAnsi="Times New Roman"/>
          <w:sz w:val="24"/>
          <w:szCs w:val="24"/>
        </w:rPr>
        <w:t xml:space="preserve">(12), 2308–2314. https://doi.org/10.1212/WNL.44.12.2308</w:t>
      </w:r>
    </w:p>
    <w:p>
      <w:pPr>
        <w:spacing w:after="0" w:before="0" w:line="480" w:lineRule="auto"/>
        <w:ind w:left="720" w:hanging="720"/>
      </w:pPr>
      <w:r>
        <w:rPr>
          <w:rFonts w:ascii="Times New Roman" w:cs="Times New Roman" w:eastAsia="Times New Roman" w:hAnsi="Times New Roman"/>
          <w:sz w:val="24"/>
          <w:szCs w:val="24"/>
        </w:rPr>
        <w:t xml:space="preserve">Dubois, B., Padovani, A., Scheltens, P., Rossi, A., &amp; Dell’Agnello, G. (2016). Timely diagnosis for Alzheimer’s disease: A literature review on benefits and challenges. </w:t>
      </w:r>
      <w:r>
        <w:rPr>
          <w:rFonts w:ascii="Times New Roman" w:cs="Times New Roman" w:eastAsia="Times New Roman" w:hAnsi="Times New Roman"/>
          <w:i/>
          <w:iCs/>
          <w:sz w:val="24"/>
          <w:szCs w:val="24"/>
        </w:rPr>
        <w:t xml:space="preserve">Journal of Alzheimer’s Disease, 49</w:t>
      </w:r>
      <w:r>
        <w:rPr>
          <w:rFonts w:ascii="Times New Roman" w:cs="Times New Roman" w:eastAsia="Times New Roman" w:hAnsi="Times New Roman"/>
          <w:sz w:val="24"/>
          <w:szCs w:val="24"/>
        </w:rPr>
        <w:t xml:space="preserve">(3), 617–631. https://doi.org/10.3233/JAD-150692</w:t>
      </w:r>
    </w:p>
    <w:p>
      <w:pPr>
        <w:spacing w:after="0" w:before="0" w:line="480" w:lineRule="auto"/>
        <w:ind w:left="720" w:hanging="720"/>
      </w:pPr>
      <w:r>
        <w:rPr>
          <w:rFonts w:ascii="Times New Roman" w:cs="Times New Roman" w:eastAsia="Times New Roman" w:hAnsi="Times New Roman"/>
          <w:sz w:val="24"/>
          <w:szCs w:val="24"/>
        </w:rPr>
        <w:t xml:space="preserve">Ferri, C. P., &amp; Jacob, K. S. (2017). Dementia in low-income and middle-income countries: Different realities mandate tailored solutions. </w:t>
      </w:r>
      <w:r>
        <w:rPr>
          <w:rFonts w:ascii="Times New Roman" w:cs="Times New Roman" w:eastAsia="Times New Roman" w:hAnsi="Times New Roman"/>
          <w:i/>
          <w:iCs/>
          <w:sz w:val="24"/>
          <w:szCs w:val="24"/>
        </w:rPr>
        <w:t xml:space="preserve">PLOS Medicine, 14</w:t>
      </w:r>
      <w:r>
        <w:rPr>
          <w:rFonts w:ascii="Times New Roman" w:cs="Times New Roman" w:eastAsia="Times New Roman" w:hAnsi="Times New Roman"/>
          <w:sz w:val="24"/>
          <w:szCs w:val="24"/>
        </w:rPr>
        <w:t xml:space="preserve">(3), Article e1002271. https://doi.org/10.1371/journal.pmed.1002271</w:t>
      </w:r>
    </w:p>
    <w:p>
      <w:pPr>
        <w:spacing w:after="0" w:before="0" w:line="480" w:lineRule="auto"/>
        <w:ind w:left="720" w:hanging="720"/>
      </w:pPr>
      <w:r>
        <w:rPr>
          <w:rFonts w:ascii="Times New Roman" w:cs="Times New Roman" w:eastAsia="Times New Roman" w:hAnsi="Times New Roman"/>
          <w:sz w:val="24"/>
          <w:szCs w:val="24"/>
        </w:rPr>
        <w:t xml:space="preserve">Folstein, M. F., Folstein, S. E., &amp; McHugh, P. R. (1975). “Mini-mental state”: A practical method for grading the cognitive state of patients for the clinician. </w:t>
      </w:r>
      <w:r>
        <w:rPr>
          <w:rFonts w:ascii="Times New Roman" w:cs="Times New Roman" w:eastAsia="Times New Roman" w:hAnsi="Times New Roman"/>
          <w:i/>
          <w:iCs/>
          <w:sz w:val="24"/>
          <w:szCs w:val="24"/>
        </w:rPr>
        <w:t xml:space="preserve">Journal of Psychiatric Research, 12</w:t>
      </w:r>
      <w:r>
        <w:rPr>
          <w:rFonts w:ascii="Times New Roman" w:cs="Times New Roman" w:eastAsia="Times New Roman" w:hAnsi="Times New Roman"/>
          <w:sz w:val="24"/>
          <w:szCs w:val="24"/>
        </w:rPr>
        <w:t xml:space="preserve">(3), 189–198. https://doi.org/10.1016/0022-3956(75)90026-6</w:t>
      </w:r>
    </w:p>
    <w:p>
      <w:pPr>
        <w:spacing w:after="0" w:before="0" w:line="480" w:lineRule="auto"/>
        <w:ind w:left="720" w:hanging="720"/>
      </w:pPr>
      <w:r>
        <w:rPr>
          <w:rFonts w:ascii="Times New Roman" w:cs="Times New Roman" w:eastAsia="Times New Roman" w:hAnsi="Times New Roman"/>
          <w:sz w:val="24"/>
          <w:szCs w:val="24"/>
        </w:rPr>
        <w:t xml:space="preserve">Galvin, J. E., Roe, C. M., Powlishta, K. K., Coats, M. A., Muich, S. J., Grant, E., Miller, J. P., Storandt, M., &amp; Morris, J. C. (2005). The AD8: A brief informant interview to detect dementia. </w:t>
      </w:r>
      <w:r>
        <w:rPr>
          <w:rFonts w:ascii="Times New Roman" w:cs="Times New Roman" w:eastAsia="Times New Roman" w:hAnsi="Times New Roman"/>
          <w:i/>
          <w:iCs/>
          <w:sz w:val="24"/>
          <w:szCs w:val="24"/>
        </w:rPr>
        <w:t xml:space="preserve">Neurology, 65</w:t>
      </w:r>
      <w:r>
        <w:rPr>
          <w:rFonts w:ascii="Times New Roman" w:cs="Times New Roman" w:eastAsia="Times New Roman" w:hAnsi="Times New Roman"/>
          <w:sz w:val="24"/>
          <w:szCs w:val="24"/>
        </w:rPr>
        <w:t xml:space="preserve">(4), 559–564. https://doi.org/10.1212/01.wnl.0000172958.95282.2a</w:t>
      </w:r>
    </w:p>
    <w:p>
      <w:pPr>
        <w:spacing w:after="0" w:before="0" w:line="480" w:lineRule="auto"/>
        <w:ind w:left="720" w:hanging="720"/>
      </w:pPr>
      <w:r>
        <w:rPr>
          <w:rFonts w:ascii="Times New Roman" w:cs="Times New Roman" w:eastAsia="Times New Roman" w:hAnsi="Times New Roman"/>
          <w:sz w:val="24"/>
          <w:szCs w:val="24"/>
        </w:rPr>
        <w:t xml:space="preserve">Ganguli, M., Chandra, V., Gilby, J. E., Ratcliff, G., Sharma, S. D., Pandav, R., Seaberg, E. C., &amp; Belle, S. (1996). Cognitive test performance in a community-based nondemented elderly sample in rural India: The Indo-U.S. Cross-National Dementia Epidemiology Study. </w:t>
      </w:r>
      <w:r>
        <w:rPr>
          <w:rFonts w:ascii="Times New Roman" w:cs="Times New Roman" w:eastAsia="Times New Roman" w:hAnsi="Times New Roman"/>
          <w:i/>
          <w:iCs/>
          <w:sz w:val="24"/>
          <w:szCs w:val="24"/>
        </w:rPr>
        <w:t xml:space="preserve">International Psychogeriatrics, 8</w:t>
      </w:r>
      <w:r>
        <w:rPr>
          <w:rFonts w:ascii="Times New Roman" w:cs="Times New Roman" w:eastAsia="Times New Roman" w:hAnsi="Times New Roman"/>
          <w:sz w:val="24"/>
          <w:szCs w:val="24"/>
        </w:rPr>
        <w:t xml:space="preserve">(4), 507–524.</w:t>
      </w:r>
    </w:p>
    <w:p>
      <w:pPr>
        <w:spacing w:after="0" w:before="0" w:line="480" w:lineRule="auto"/>
        <w:ind w:left="720" w:hanging="720"/>
      </w:pPr>
      <w:r>
        <w:rPr>
          <w:rFonts w:ascii="Times New Roman" w:cs="Times New Roman" w:eastAsia="Times New Roman" w:hAnsi="Times New Roman"/>
          <w:sz w:val="24"/>
          <w:szCs w:val="24"/>
        </w:rPr>
        <w:t xml:space="preserve">Herrmann, L. K., Welter, E., Leverenz, J., Lerner, A. J., Udelson, N., Kanetsky, C., &amp; Sajatovic, M. (2018). A systematic review of dementia-related stigma research: Can we move the stigma dial? </w:t>
      </w:r>
      <w:r>
        <w:rPr>
          <w:rFonts w:ascii="Times New Roman" w:cs="Times New Roman" w:eastAsia="Times New Roman" w:hAnsi="Times New Roman"/>
          <w:i/>
          <w:iCs/>
          <w:sz w:val="24"/>
          <w:szCs w:val="24"/>
        </w:rPr>
        <w:t xml:space="preserve">The American Journal of Geriatric Psychiatry, 26</w:t>
      </w:r>
      <w:r>
        <w:rPr>
          <w:rFonts w:ascii="Times New Roman" w:cs="Times New Roman" w:eastAsia="Times New Roman" w:hAnsi="Times New Roman"/>
          <w:sz w:val="24"/>
          <w:szCs w:val="24"/>
        </w:rPr>
        <w:t xml:space="preserve">(3), 316–331.</w:t>
      </w:r>
    </w:p>
    <w:p>
      <w:pPr>
        <w:spacing w:after="0" w:before="0" w:line="480" w:lineRule="auto"/>
        <w:ind w:left="720" w:hanging="720"/>
      </w:pPr>
      <w:r>
        <w:rPr>
          <w:rFonts w:ascii="Times New Roman" w:cs="Times New Roman" w:eastAsia="Times New Roman" w:hAnsi="Times New Roman"/>
          <w:sz w:val="24"/>
          <w:szCs w:val="24"/>
        </w:rPr>
        <w:t xml:space="preserve">Ismail, Z., Elbayoumi, H., Fischer, C. E., Hogan, D. B., Millikin, C. P., Schweizer, T., Mortby, M. E., Smith, E. E., Patten, S. B., &amp; Fiest, K. M. (2017). Prevalence of depression in patients with mild cognitive impairment: A systematic review and meta-analysis. </w:t>
      </w:r>
      <w:r>
        <w:rPr>
          <w:rFonts w:ascii="Times New Roman" w:cs="Times New Roman" w:eastAsia="Times New Roman" w:hAnsi="Times New Roman"/>
          <w:i/>
          <w:iCs/>
          <w:sz w:val="24"/>
          <w:szCs w:val="24"/>
        </w:rPr>
        <w:t xml:space="preserve">JAMA Psychiatry, 74</w:t>
      </w:r>
      <w:r>
        <w:rPr>
          <w:rFonts w:ascii="Times New Roman" w:cs="Times New Roman" w:eastAsia="Times New Roman" w:hAnsi="Times New Roman"/>
          <w:sz w:val="24"/>
          <w:szCs w:val="24"/>
        </w:rPr>
        <w:t xml:space="preserve">(1), 58–67. https://doi.org/10.1001/jamapsychiatry.2016.3162</w:t>
      </w:r>
    </w:p>
    <w:p>
      <w:pPr>
        <w:spacing w:after="0" w:before="0" w:line="480" w:lineRule="auto"/>
        <w:ind w:left="720" w:hanging="720"/>
      </w:pPr>
      <w:r>
        <w:rPr>
          <w:rFonts w:ascii="Times New Roman" w:cs="Times New Roman" w:eastAsia="Times New Roman" w:hAnsi="Times New Roman"/>
          <w:sz w:val="24"/>
          <w:szCs w:val="24"/>
        </w:rPr>
        <w:t xml:space="preserve">Ismail, Z., Rajji, T. K., &amp; Shulman, K. I. (2010). Brief cognitive screening instruments: An update. </w:t>
      </w:r>
      <w:r>
        <w:rPr>
          <w:rFonts w:ascii="Times New Roman" w:cs="Times New Roman" w:eastAsia="Times New Roman" w:hAnsi="Times New Roman"/>
          <w:i/>
          <w:iCs/>
          <w:sz w:val="24"/>
          <w:szCs w:val="24"/>
        </w:rPr>
        <w:t xml:space="preserve">International Journal of Geriatric Psychiatry, 25</w:t>
      </w:r>
      <w:r>
        <w:rPr>
          <w:rFonts w:ascii="Times New Roman" w:cs="Times New Roman" w:eastAsia="Times New Roman" w:hAnsi="Times New Roman"/>
          <w:sz w:val="24"/>
          <w:szCs w:val="24"/>
        </w:rPr>
        <w:t xml:space="preserve">(2), 111–120. https://doi.org/10.1002/gps.2306</w:t>
      </w:r>
    </w:p>
    <w:p>
      <w:pPr>
        <w:spacing w:after="0" w:before="0" w:line="480" w:lineRule="auto"/>
        <w:ind w:left="720" w:hanging="720"/>
      </w:pPr>
      <w:r>
        <w:rPr>
          <w:rFonts w:ascii="Times New Roman" w:cs="Times New Roman" w:eastAsia="Times New Roman" w:hAnsi="Times New Roman"/>
          <w:sz w:val="24"/>
          <w:szCs w:val="24"/>
        </w:rPr>
        <w:t xml:space="preserve">Ismail, Z., Smith, E. E., Geda, Y., Sultzer, D., Brodaty, H., Smith, G., Agüera-Ortiz, L., Sweet, R., Miller, D., &amp; Lyketsos, C. G. (2016). Neuropsychiatric symptoms as early manifestations of emergent dementia: Provisional diagnostic criteria for mild behavioral impairment. </w:t>
      </w:r>
      <w:r>
        <w:rPr>
          <w:rFonts w:ascii="Times New Roman" w:cs="Times New Roman" w:eastAsia="Times New Roman" w:hAnsi="Times New Roman"/>
          <w:i/>
          <w:iCs/>
          <w:sz w:val="24"/>
          <w:szCs w:val="24"/>
        </w:rPr>
        <w:t xml:space="preserve">Alzheimer’s &amp; Dementia, 12</w:t>
      </w:r>
      <w:r>
        <w:rPr>
          <w:rFonts w:ascii="Times New Roman" w:cs="Times New Roman" w:eastAsia="Times New Roman" w:hAnsi="Times New Roman"/>
          <w:sz w:val="24"/>
          <w:szCs w:val="24"/>
        </w:rPr>
        <w:t xml:space="preserve">(2), 195–202. https://doi.org/10.1016/j.jalz.2015.05.017</w:t>
      </w:r>
    </w:p>
    <w:p>
      <w:pPr>
        <w:spacing w:after="0" w:before="0" w:line="480" w:lineRule="auto"/>
        <w:ind w:left="720" w:hanging="720"/>
      </w:pPr>
      <w:r>
        <w:rPr>
          <w:rFonts w:ascii="Times New Roman" w:cs="Times New Roman" w:eastAsia="Times New Roman" w:hAnsi="Times New Roman"/>
          <w:sz w:val="24"/>
          <w:szCs w:val="24"/>
        </w:rPr>
        <w:t xml:space="preserve">Jekel, K., Damian, M., Wattmo, C., Hausner, L., Bullock, R., Connelly, P. J., Dubois, B., Eriksdotter, M., Ewers, M., Graessel, E., Kramberger, M. G., Law, E., Mecocci, P., Molinuevo, J. L., Nygård, L., Olde-Rikkert, M. G. M., Orgogozo, J.-M., Pasquier, F., Peres, K., … Frölich, L. (2015). Mild cognitive impairment and deficits in instrumental activities of daily living: A systematic review. </w:t>
      </w:r>
      <w:r>
        <w:rPr>
          <w:rFonts w:ascii="Times New Roman" w:cs="Times New Roman" w:eastAsia="Times New Roman" w:hAnsi="Times New Roman"/>
          <w:i/>
          <w:iCs/>
          <w:sz w:val="24"/>
          <w:szCs w:val="24"/>
        </w:rPr>
        <w:t xml:space="preserve">Alzheimer’s Research &amp; Therapy, 7</w:t>
      </w:r>
      <w:r>
        <w:rPr>
          <w:rFonts w:ascii="Times New Roman" w:cs="Times New Roman" w:eastAsia="Times New Roman" w:hAnsi="Times New Roman"/>
          <w:sz w:val="24"/>
          <w:szCs w:val="24"/>
        </w:rPr>
        <w:t xml:space="preserve">, Article 17. https://doi.org/10.1186/s13195-015-0099-0</w:t>
      </w:r>
    </w:p>
    <w:p>
      <w:pPr>
        <w:spacing w:after="0" w:before="0" w:line="480" w:lineRule="auto"/>
        <w:ind w:left="720" w:hanging="720"/>
      </w:pPr>
      <w:r>
        <w:rPr>
          <w:rFonts w:ascii="Times New Roman" w:cs="Times New Roman" w:eastAsia="Times New Roman" w:hAnsi="Times New Roman"/>
          <w:sz w:val="24"/>
          <w:szCs w:val="24"/>
        </w:rPr>
        <w:t xml:space="preserve">Jessen, F., Amariglio, R. E., van Boxtel, M., Breteler, M., Ceccaldi, M., Chételat, G., Dubois, B., Dufouil, C., Ellis, K. A., van der Flier, W. M., Glodzik, L., van Harten, A. C., de Leon, M. J., McHugh, P., Mielke, M. M., Molinuevo, J. L., Mosconi, L., Osorio, R. S., Perrotin, A., … Wagner, M. (2014). A conceptual framework for research on subjective cognitive decline in preclinical Alzheimer’s disease. </w:t>
      </w:r>
      <w:r>
        <w:rPr>
          <w:rFonts w:ascii="Times New Roman" w:cs="Times New Roman" w:eastAsia="Times New Roman" w:hAnsi="Times New Roman"/>
          <w:i/>
          <w:iCs/>
          <w:sz w:val="24"/>
          <w:szCs w:val="24"/>
        </w:rPr>
        <w:t xml:space="preserve">Alzheimer’s &amp; Dementia, 10</w:t>
      </w:r>
      <w:r>
        <w:rPr>
          <w:rFonts w:ascii="Times New Roman" w:cs="Times New Roman" w:eastAsia="Times New Roman" w:hAnsi="Times New Roman"/>
          <w:sz w:val="24"/>
          <w:szCs w:val="24"/>
        </w:rPr>
        <w:t xml:space="preserve">(6), 844–852. https://doi.org/10.1016/j.jalz.2014.01.001</w:t>
      </w:r>
    </w:p>
    <w:p>
      <w:pPr>
        <w:spacing w:after="0" w:before="0" w:line="480" w:lineRule="auto"/>
        <w:ind w:left="720" w:hanging="720"/>
      </w:pPr>
      <w:r>
        <w:rPr>
          <w:rFonts w:ascii="Times New Roman" w:cs="Times New Roman" w:eastAsia="Times New Roman" w:hAnsi="Times New Roman"/>
          <w:sz w:val="24"/>
          <w:szCs w:val="24"/>
        </w:rPr>
        <w:t xml:space="preserve">Jorm, A. F. (1996). Assessment of cognitive impairment and dementia using informant reports. </w:t>
      </w:r>
      <w:r>
        <w:rPr>
          <w:rFonts w:ascii="Times New Roman" w:cs="Times New Roman" w:eastAsia="Times New Roman" w:hAnsi="Times New Roman"/>
          <w:i/>
          <w:iCs/>
          <w:sz w:val="24"/>
          <w:szCs w:val="24"/>
        </w:rPr>
        <w:t xml:space="preserve">Clinical Psychology Review, 16</w:t>
      </w:r>
      <w:r>
        <w:rPr>
          <w:rFonts w:ascii="Times New Roman" w:cs="Times New Roman" w:eastAsia="Times New Roman" w:hAnsi="Times New Roman"/>
          <w:sz w:val="24"/>
          <w:szCs w:val="24"/>
        </w:rPr>
        <w:t xml:space="preserve">(1), 51–73. https://doi.org/10.1016/0272-7358(95)00048-8</w:t>
      </w:r>
    </w:p>
    <w:p>
      <w:pPr>
        <w:spacing w:after="0" w:before="0" w:line="480" w:lineRule="auto"/>
        <w:ind w:left="720" w:hanging="720"/>
      </w:pPr>
      <w:r>
        <w:rPr>
          <w:rFonts w:ascii="Times New Roman" w:cs="Times New Roman" w:eastAsia="Times New Roman" w:hAnsi="Times New Roman"/>
          <w:sz w:val="24"/>
          <w:szCs w:val="24"/>
        </w:rPr>
        <w:t xml:space="preserve">Jorm, A. F., &amp; Jacomb, P. A. (1989). The Informant Questionnaire on Cognitive Decline in the Elderly (IQCODE): Socio-demographic correlates, reliability, validity and some norms. </w:t>
      </w:r>
      <w:r>
        <w:rPr>
          <w:rFonts w:ascii="Times New Roman" w:cs="Times New Roman" w:eastAsia="Times New Roman" w:hAnsi="Times New Roman"/>
          <w:i/>
          <w:iCs/>
          <w:sz w:val="24"/>
          <w:szCs w:val="24"/>
        </w:rPr>
        <w:t xml:space="preserve">Psychological Medicine, 19</w:t>
      </w:r>
      <w:r>
        <w:rPr>
          <w:rFonts w:ascii="Times New Roman" w:cs="Times New Roman" w:eastAsia="Times New Roman" w:hAnsi="Times New Roman"/>
          <w:sz w:val="24"/>
          <w:szCs w:val="24"/>
        </w:rPr>
        <w:t xml:space="preserve">(4), 1015–1022. https://doi.org/10.1017/S0033291700005742</w:t>
      </w:r>
    </w:p>
    <w:p>
      <w:pPr>
        <w:spacing w:after="0" w:before="0" w:line="480" w:lineRule="auto"/>
        <w:ind w:left="720" w:hanging="720"/>
      </w:pPr>
      <w:r>
        <w:rPr>
          <w:rFonts w:ascii="Times New Roman" w:cs="Times New Roman" w:eastAsia="Times New Roman" w:hAnsi="Times New Roman"/>
          <w:sz w:val="24"/>
          <w:szCs w:val="24"/>
        </w:rPr>
        <w:t xml:space="preserve">Jorm, A. F. (2004). The Informant Questionnaire on Cognitive Decline in the Elderly (IQCODE): A review. </w:t>
      </w:r>
      <w:r>
        <w:rPr>
          <w:rFonts w:ascii="Times New Roman" w:cs="Times New Roman" w:eastAsia="Times New Roman" w:hAnsi="Times New Roman"/>
          <w:i/>
          <w:iCs/>
          <w:sz w:val="24"/>
          <w:szCs w:val="24"/>
        </w:rPr>
        <w:t xml:space="preserve">International Psychogeriatrics, 16</w:t>
      </w:r>
      <w:r>
        <w:rPr>
          <w:rFonts w:ascii="Times New Roman" w:cs="Times New Roman" w:eastAsia="Times New Roman" w:hAnsi="Times New Roman"/>
          <w:sz w:val="24"/>
          <w:szCs w:val="24"/>
        </w:rPr>
        <w:t xml:space="preserve">(3), 275–293. https://doi.org/10.1017/S1041610204000390</w:t>
      </w:r>
    </w:p>
    <w:p>
      <w:pPr>
        <w:spacing w:after="0" w:before="0" w:line="480" w:lineRule="auto"/>
        <w:ind w:left="720" w:hanging="720"/>
      </w:pPr>
      <w:r>
        <w:rPr>
          <w:rFonts w:ascii="Times New Roman" w:cs="Times New Roman" w:eastAsia="Times New Roman" w:hAnsi="Times New Roman"/>
          <w:sz w:val="24"/>
          <w:szCs w:val="24"/>
        </w:rPr>
        <w:t xml:space="preserve">Kalaria, R. N., Maestre, G. E., Arizaga, R., Friedland, R. P., Galasko, D., Hall, K., Luchsinger, J. A., Ogunniyi, A., Perry, E. K., Potocnik, F., Prince, M., Stewart, R., Wimo, A., Zhang, Z.-X., &amp; Antuono, P. (2008). Alzheimer’s disease and vascular dementia in developing countries: Prevalence, management, and risk factors. </w:t>
      </w:r>
      <w:r>
        <w:rPr>
          <w:rFonts w:ascii="Times New Roman" w:cs="Times New Roman" w:eastAsia="Times New Roman" w:hAnsi="Times New Roman"/>
          <w:i/>
          <w:iCs/>
          <w:sz w:val="24"/>
          <w:szCs w:val="24"/>
        </w:rPr>
        <w:t xml:space="preserve">The Lancet Neurology, 7</w:t>
      </w:r>
      <w:r>
        <w:rPr>
          <w:rFonts w:ascii="Times New Roman" w:cs="Times New Roman" w:eastAsia="Times New Roman" w:hAnsi="Times New Roman"/>
          <w:sz w:val="24"/>
          <w:szCs w:val="24"/>
        </w:rPr>
        <w:t xml:space="preserve">(9), 812–826.</w:t>
      </w:r>
    </w:p>
    <w:p>
      <w:pPr>
        <w:spacing w:after="0" w:before="0" w:line="480" w:lineRule="auto"/>
        <w:ind w:left="720" w:hanging="720"/>
      </w:pPr>
      <w:r>
        <w:rPr>
          <w:rFonts w:ascii="Times New Roman" w:cs="Times New Roman" w:eastAsia="Times New Roman" w:hAnsi="Times New Roman"/>
          <w:sz w:val="24"/>
          <w:szCs w:val="24"/>
        </w:rPr>
        <w:t xml:space="preserve">Kales, H. C., Gitlin, L. N., &amp; Lyketsos, C. G. (2015). Assessment and management of behavioral and psychological symptoms of dementia. </w:t>
      </w:r>
      <w:r>
        <w:rPr>
          <w:rFonts w:ascii="Times New Roman" w:cs="Times New Roman" w:eastAsia="Times New Roman" w:hAnsi="Times New Roman"/>
          <w:i/>
          <w:iCs/>
          <w:sz w:val="24"/>
          <w:szCs w:val="24"/>
        </w:rPr>
        <w:t xml:space="preserve">BMJ, 350</w:t>
      </w:r>
      <w:r>
        <w:rPr>
          <w:rFonts w:ascii="Times New Roman" w:cs="Times New Roman" w:eastAsia="Times New Roman" w:hAnsi="Times New Roman"/>
          <w:sz w:val="24"/>
          <w:szCs w:val="24"/>
        </w:rPr>
        <w:t xml:space="preserve">, Article h369. https://doi.org/10.1136/bmj.h369</w:t>
      </w:r>
    </w:p>
    <w:p>
      <w:pPr>
        <w:spacing w:after="0" w:before="0" w:line="480" w:lineRule="auto"/>
        <w:ind w:left="720" w:hanging="720"/>
      </w:pPr>
      <w:r>
        <w:rPr>
          <w:rFonts w:ascii="Times New Roman" w:cs="Times New Roman" w:eastAsia="Times New Roman" w:hAnsi="Times New Roman"/>
          <w:sz w:val="24"/>
          <w:szCs w:val="24"/>
        </w:rPr>
        <w:t xml:space="preserve">Karim, S., Saeed, K., Rana, M. H., Mubbashar, M. H., &amp; Jenkins, R. (2004). Pakistan mental health country profile. </w:t>
      </w:r>
      <w:r>
        <w:rPr>
          <w:rFonts w:ascii="Times New Roman" w:cs="Times New Roman" w:eastAsia="Times New Roman" w:hAnsi="Times New Roman"/>
          <w:i/>
          <w:iCs/>
          <w:sz w:val="24"/>
          <w:szCs w:val="24"/>
        </w:rPr>
        <w:t xml:space="preserve">International Review of Psychiatry, 16</w:t>
      </w:r>
      <w:r>
        <w:rPr>
          <w:rFonts w:ascii="Times New Roman" w:cs="Times New Roman" w:eastAsia="Times New Roman" w:hAnsi="Times New Roman"/>
          <w:sz w:val="24"/>
          <w:szCs w:val="24"/>
        </w:rPr>
        <w:t xml:space="preserve">(1–2), 83–92. https://doi.org/10.1080/09540260310001635131</w:t>
      </w:r>
    </w:p>
    <w:p>
      <w:pPr>
        <w:spacing w:after="0" w:before="0" w:line="480" w:lineRule="auto"/>
        <w:ind w:left="720" w:hanging="720"/>
      </w:pPr>
      <w:r>
        <w:rPr>
          <w:rFonts w:ascii="Times New Roman" w:cs="Times New Roman" w:eastAsia="Times New Roman" w:hAnsi="Times New Roman"/>
          <w:sz w:val="24"/>
          <w:szCs w:val="24"/>
        </w:rPr>
        <w:t xml:space="preserve">Kaufer, D. I., Cummings, J. L., Ketchel, P., Smith, V., MacMillan, A., Shelley, T., Lopez, O. L., &amp; DeKosky, S. T. (2000). Validation of the NPI-Q, a brief clinical form of the Neuropsychiatric Inventory. </w:t>
      </w:r>
      <w:r>
        <w:rPr>
          <w:rFonts w:ascii="Times New Roman" w:cs="Times New Roman" w:eastAsia="Times New Roman" w:hAnsi="Times New Roman"/>
          <w:i/>
          <w:iCs/>
          <w:sz w:val="24"/>
          <w:szCs w:val="24"/>
        </w:rPr>
        <w:t xml:space="preserve">The Journal of Neuropsychiatry and Clinical Neurosciences, 12</w:t>
      </w:r>
      <w:r>
        <w:rPr>
          <w:rFonts w:ascii="Times New Roman" w:cs="Times New Roman" w:eastAsia="Times New Roman" w:hAnsi="Times New Roman"/>
          <w:sz w:val="24"/>
          <w:szCs w:val="24"/>
        </w:rPr>
        <w:t xml:space="preserve">(2), 233–239. https://doi.org/10.1176/jnp.12.2.233</w:t>
      </w:r>
    </w:p>
    <w:p>
      <w:pPr>
        <w:spacing w:after="0" w:before="0" w:line="480" w:lineRule="auto"/>
        <w:ind w:left="720" w:hanging="720"/>
      </w:pPr>
      <w:r>
        <w:rPr>
          <w:rFonts w:ascii="Times New Roman" w:cs="Times New Roman" w:eastAsia="Times New Roman" w:hAnsi="Times New Roman"/>
          <w:sz w:val="24"/>
          <w:szCs w:val="24"/>
        </w:rPr>
        <w:t xml:space="preserve">Kuiper, J. S., Zuidersma, M., Oude Voshaar, R. C., Zuidema, S. U., van den Heuvel, E. R., Stolk, R. P., &amp; Smidt, N. (2015). Social relationships and risk of dementia: A systematic review and meta-analysis of longitudinal cohort studies. </w:t>
      </w:r>
      <w:r>
        <w:rPr>
          <w:rFonts w:ascii="Times New Roman" w:cs="Times New Roman" w:eastAsia="Times New Roman" w:hAnsi="Times New Roman"/>
          <w:i/>
          <w:iCs/>
          <w:sz w:val="24"/>
          <w:szCs w:val="24"/>
        </w:rPr>
        <w:t xml:space="preserve">Ageing Research Reviews, 22</w:t>
      </w:r>
      <w:r>
        <w:rPr>
          <w:rFonts w:ascii="Times New Roman" w:cs="Times New Roman" w:eastAsia="Times New Roman" w:hAnsi="Times New Roman"/>
          <w:sz w:val="24"/>
          <w:szCs w:val="24"/>
        </w:rPr>
        <w:t xml:space="preserve">, 39–57. https://doi.org/10.1016/j.arr.2015.04.006</w:t>
      </w:r>
    </w:p>
    <w:p>
      <w:pPr>
        <w:spacing w:after="0" w:before="0" w:line="480" w:lineRule="auto"/>
        <w:ind w:left="720" w:hanging="720"/>
      </w:pPr>
      <w:r>
        <w:rPr>
          <w:rFonts w:ascii="Times New Roman" w:cs="Times New Roman" w:eastAsia="Times New Roman" w:hAnsi="Times New Roman"/>
          <w:sz w:val="24"/>
          <w:szCs w:val="24"/>
        </w:rPr>
        <w:t xml:space="preserve">Lanctôt, K. L., Agüera-Ortiz, L., Brodaty, H., Francis, P. T., Geda, Y. E., Ismail, Z., Marshall, G. A., Mortby, M. E., Onyike, C. U., Padala, P. R., Politis, A. M., Rosenberg, P. B., Siegel, E., Sultzer, D. L., &amp; Abraham, E. H. (2017). Apathy associated with neurocognitive disorders: Recent progress and future directions. </w:t>
      </w:r>
      <w:r>
        <w:rPr>
          <w:rFonts w:ascii="Times New Roman" w:cs="Times New Roman" w:eastAsia="Times New Roman" w:hAnsi="Times New Roman"/>
          <w:i/>
          <w:iCs/>
          <w:sz w:val="24"/>
          <w:szCs w:val="24"/>
        </w:rPr>
        <w:t xml:space="preserve">Alzheimer’s &amp; Dementia, 13</w:t>
      </w:r>
      <w:r>
        <w:rPr>
          <w:rFonts w:ascii="Times New Roman" w:cs="Times New Roman" w:eastAsia="Times New Roman" w:hAnsi="Times New Roman"/>
          <w:sz w:val="24"/>
          <w:szCs w:val="24"/>
        </w:rPr>
        <w:t xml:space="preserve">(1), 84–100.</w:t>
      </w:r>
    </w:p>
    <w:p>
      <w:pPr>
        <w:spacing w:after="0" w:before="0" w:line="480" w:lineRule="auto"/>
        <w:ind w:left="720" w:hanging="720"/>
      </w:pPr>
      <w:r>
        <w:rPr>
          <w:rFonts w:ascii="Times New Roman" w:cs="Times New Roman" w:eastAsia="Times New Roman" w:hAnsi="Times New Roman"/>
          <w:sz w:val="24"/>
          <w:szCs w:val="24"/>
        </w:rPr>
        <w:t xml:space="preserve">Lawton, M. P., &amp; Brody, E. M. (1969). Assessment of older people: Self-maintaining and instrumental activities of daily living. </w:t>
      </w:r>
      <w:r>
        <w:rPr>
          <w:rFonts w:ascii="Times New Roman" w:cs="Times New Roman" w:eastAsia="Times New Roman" w:hAnsi="Times New Roman"/>
          <w:i/>
          <w:iCs/>
          <w:sz w:val="24"/>
          <w:szCs w:val="24"/>
        </w:rPr>
        <w:t xml:space="preserve">The Gerontologist, 9</w:t>
      </w:r>
      <w:r>
        <w:rPr>
          <w:rFonts w:ascii="Times New Roman" w:cs="Times New Roman" w:eastAsia="Times New Roman" w:hAnsi="Times New Roman"/>
          <w:sz w:val="24"/>
          <w:szCs w:val="24"/>
        </w:rPr>
        <w:t xml:space="preserve">(3), 179–186. https://doi.org/10.1093/geront/9.3_Part_1.179</w:t>
      </w:r>
    </w:p>
    <w:p>
      <w:pPr>
        <w:spacing w:after="0" w:before="0" w:line="480" w:lineRule="auto"/>
        <w:ind w:left="720" w:hanging="720"/>
      </w:pPr>
      <w:r>
        <w:rPr>
          <w:rFonts w:ascii="Times New Roman" w:cs="Times New Roman" w:eastAsia="Times New Roman" w:hAnsi="Times New Roman"/>
          <w:sz w:val="24"/>
          <w:szCs w:val="24"/>
        </w:rPr>
        <w:t xml:space="preserve">Livingston, G., Huntley, J., Sommerlad, A., Ames, D., Ballard, C., Banerjee, S., Brayne, C., Burns, A., Cohen-Mansfield, J., Cooper, C., Costafreda, S. G., Dias, A., Fox, N., Gitlin, L. N., Howard, R., Kales, H. C., Kivimäki, M., Larson, E. B., Ogunniyi, A., … Mukadam, N. (2020). Dementia prevention, intervention, and care: 2020 report of the Lancet Commission. </w:t>
      </w:r>
      <w:r>
        <w:rPr>
          <w:rFonts w:ascii="Times New Roman" w:cs="Times New Roman" w:eastAsia="Times New Roman" w:hAnsi="Times New Roman"/>
          <w:i/>
          <w:iCs/>
          <w:sz w:val="24"/>
          <w:szCs w:val="24"/>
        </w:rPr>
        <w:t xml:space="preserve">The Lancet, 396</w:t>
      </w:r>
      <w:r>
        <w:rPr>
          <w:rFonts w:ascii="Times New Roman" w:cs="Times New Roman" w:eastAsia="Times New Roman" w:hAnsi="Times New Roman"/>
          <w:sz w:val="24"/>
          <w:szCs w:val="24"/>
        </w:rPr>
        <w:t xml:space="preserve">(10248), 413–446. https://doi.org/10.1016/S0140-6736(20)30367-6</w:t>
      </w:r>
    </w:p>
    <w:p>
      <w:pPr>
        <w:spacing w:after="0" w:before="0" w:line="480" w:lineRule="auto"/>
        <w:ind w:left="720" w:hanging="720"/>
      </w:pPr>
      <w:r>
        <w:rPr>
          <w:rFonts w:ascii="Times New Roman" w:cs="Times New Roman" w:eastAsia="Times New Roman" w:hAnsi="Times New Roman"/>
          <w:sz w:val="24"/>
          <w:szCs w:val="24"/>
        </w:rPr>
        <w:t xml:space="preserve">Lyketsos, C. G., Lopez, O., Jones, B., Fitzpatrick, A. L., Breitner, J., &amp; DeKosky, S. (2002). Prevalence of neuropsychiatric symptoms in dementia and mild cognitive impairment: Results from the Cardiovascular Health Study. </w:t>
      </w:r>
      <w:r>
        <w:rPr>
          <w:rFonts w:ascii="Times New Roman" w:cs="Times New Roman" w:eastAsia="Times New Roman" w:hAnsi="Times New Roman"/>
          <w:i/>
          <w:iCs/>
          <w:sz w:val="24"/>
          <w:szCs w:val="24"/>
        </w:rPr>
        <w:t xml:space="preserve">JAMA, 288</w:t>
      </w:r>
      <w:r>
        <w:rPr>
          <w:rFonts w:ascii="Times New Roman" w:cs="Times New Roman" w:eastAsia="Times New Roman" w:hAnsi="Times New Roman"/>
          <w:sz w:val="24"/>
          <w:szCs w:val="24"/>
        </w:rPr>
        <w:t xml:space="preserve">(12), 1475–1483. https://doi.org/10.1001/jama.288.12.1475</w:t>
      </w:r>
    </w:p>
    <w:p>
      <w:pPr>
        <w:spacing w:after="0" w:before="0" w:line="480" w:lineRule="auto"/>
        <w:ind w:left="720" w:hanging="720"/>
      </w:pPr>
      <w:r>
        <w:rPr>
          <w:rFonts w:ascii="Times New Roman" w:cs="Times New Roman" w:eastAsia="Times New Roman" w:hAnsi="Times New Roman"/>
          <w:sz w:val="24"/>
          <w:szCs w:val="24"/>
        </w:rPr>
        <w:t xml:space="preserve">Manly, J. J., Jacobs, D. M., Touradji, P., Small, S. A., &amp; Stern, Y. (2002). Reading level attenuates differences in neuropsychological test performance between African American and White elders. </w:t>
      </w:r>
      <w:r>
        <w:rPr>
          <w:rFonts w:ascii="Times New Roman" w:cs="Times New Roman" w:eastAsia="Times New Roman" w:hAnsi="Times New Roman"/>
          <w:i/>
          <w:iCs/>
          <w:sz w:val="24"/>
          <w:szCs w:val="24"/>
        </w:rPr>
        <w:t xml:space="preserve">Journal of the International Neuropsychological Society, 8</w:t>
      </w:r>
      <w:r>
        <w:rPr>
          <w:rFonts w:ascii="Times New Roman" w:cs="Times New Roman" w:eastAsia="Times New Roman" w:hAnsi="Times New Roman"/>
          <w:sz w:val="24"/>
          <w:szCs w:val="24"/>
        </w:rPr>
        <w:t xml:space="preserve">(3), 341–348.</w:t>
      </w:r>
    </w:p>
    <w:p>
      <w:pPr>
        <w:spacing w:after="0" w:before="0" w:line="480" w:lineRule="auto"/>
        <w:ind w:left="720" w:hanging="720"/>
      </w:pPr>
      <w:r>
        <w:rPr>
          <w:rFonts w:ascii="Times New Roman" w:cs="Times New Roman" w:eastAsia="Times New Roman" w:hAnsi="Times New Roman"/>
          <w:sz w:val="24"/>
          <w:szCs w:val="24"/>
        </w:rPr>
        <w:t xml:space="preserve">Marshall, G. A., Rentz, D. M., Frey, M. T., Locascio, J. J., Johnson, K. A., &amp; Sperling, R. A. (2011). Executive function and instrumental activities of daily living in mild cognitive impairment and Alzheimer’s disease. </w:t>
      </w:r>
      <w:r>
        <w:rPr>
          <w:rFonts w:ascii="Times New Roman" w:cs="Times New Roman" w:eastAsia="Times New Roman" w:hAnsi="Times New Roman"/>
          <w:i/>
          <w:iCs/>
          <w:sz w:val="24"/>
          <w:szCs w:val="24"/>
        </w:rPr>
        <w:t xml:space="preserve">Alzheimer’s &amp; Dementia, 7</w:t>
      </w:r>
      <w:r>
        <w:rPr>
          <w:rFonts w:ascii="Times New Roman" w:cs="Times New Roman" w:eastAsia="Times New Roman" w:hAnsi="Times New Roman"/>
          <w:sz w:val="24"/>
          <w:szCs w:val="24"/>
        </w:rPr>
        <w:t xml:space="preserve">(3), 300–308. https://doi.org/10.1016/j.jalz.2010.04.005</w:t>
      </w:r>
    </w:p>
    <w:p>
      <w:pPr>
        <w:spacing w:after="0" w:before="0" w:line="480" w:lineRule="auto"/>
        <w:ind w:left="720" w:hanging="720"/>
      </w:pPr>
      <w:r>
        <w:rPr>
          <w:rFonts w:ascii="Times New Roman" w:cs="Times New Roman" w:eastAsia="Times New Roman" w:hAnsi="Times New Roman"/>
          <w:sz w:val="24"/>
          <w:szCs w:val="24"/>
        </w:rPr>
        <w:t xml:space="preserve">Milani, S. A., Marsiske, M., Cottler, L. B., Chen, X., &amp; Striley, C. W. (2018). Optimal cutoffs for the Montreal Cognitive Assessment vary by race and ethnicity. </w:t>
      </w:r>
      <w:r>
        <w:rPr>
          <w:rFonts w:ascii="Times New Roman" w:cs="Times New Roman" w:eastAsia="Times New Roman" w:hAnsi="Times New Roman"/>
          <w:i/>
          <w:iCs/>
          <w:sz w:val="24"/>
          <w:szCs w:val="24"/>
        </w:rPr>
        <w:t xml:space="preserve">Alzheimer’s &amp; Dementia: Diagnosis, Assessment &amp; Disease Monitoring, 10</w:t>
      </w:r>
      <w:r>
        <w:rPr>
          <w:rFonts w:ascii="Times New Roman" w:cs="Times New Roman" w:eastAsia="Times New Roman" w:hAnsi="Times New Roman"/>
          <w:sz w:val="24"/>
          <w:szCs w:val="24"/>
        </w:rPr>
        <w:t xml:space="preserve">, 773–781.</w:t>
      </w:r>
    </w:p>
    <w:p>
      <w:pPr>
        <w:spacing w:after="0" w:before="0" w:line="480" w:lineRule="auto"/>
        <w:ind w:left="720" w:hanging="720"/>
      </w:pPr>
      <w:r>
        <w:rPr>
          <w:rFonts w:ascii="Times New Roman" w:cs="Times New Roman" w:eastAsia="Times New Roman" w:hAnsi="Times New Roman"/>
          <w:sz w:val="24"/>
          <w:szCs w:val="24"/>
        </w:rPr>
        <w:t xml:space="preserve">Mirza, I., &amp; Jenkins, R. (2004). Risk factors, prevalence, and treatment of anxiety and depressive disorders in Pakistan: Systematic review. </w:t>
      </w:r>
      <w:r>
        <w:rPr>
          <w:rFonts w:ascii="Times New Roman" w:cs="Times New Roman" w:eastAsia="Times New Roman" w:hAnsi="Times New Roman"/>
          <w:i/>
          <w:iCs/>
          <w:sz w:val="24"/>
          <w:szCs w:val="24"/>
        </w:rPr>
        <w:t xml:space="preserve">BMJ, 328</w:t>
      </w:r>
      <w:r>
        <w:rPr>
          <w:rFonts w:ascii="Times New Roman" w:cs="Times New Roman" w:eastAsia="Times New Roman" w:hAnsi="Times New Roman"/>
          <w:sz w:val="24"/>
          <w:szCs w:val="24"/>
        </w:rPr>
        <w:t xml:space="preserve">(7443), Article 794.</w:t>
      </w:r>
    </w:p>
    <w:p>
      <w:pPr>
        <w:spacing w:after="0" w:before="0" w:line="480" w:lineRule="auto"/>
        <w:ind w:left="720" w:hanging="720"/>
      </w:pPr>
      <w:r>
        <w:rPr>
          <w:rFonts w:ascii="Times New Roman" w:cs="Times New Roman" w:eastAsia="Times New Roman" w:hAnsi="Times New Roman"/>
          <w:sz w:val="24"/>
          <w:szCs w:val="24"/>
        </w:rPr>
        <w:t xml:space="preserve">Mitchell, A. J. (2009). A meta-analysis of the accuracy of the mini-mental state examination in the detection of dementia and mild cognitive impairment. </w:t>
      </w:r>
      <w:r>
        <w:rPr>
          <w:rFonts w:ascii="Times New Roman" w:cs="Times New Roman" w:eastAsia="Times New Roman" w:hAnsi="Times New Roman"/>
          <w:i/>
          <w:iCs/>
          <w:sz w:val="24"/>
          <w:szCs w:val="24"/>
        </w:rPr>
        <w:t xml:space="preserve">Journal of Psychiatric Research, 43</w:t>
      </w:r>
      <w:r>
        <w:rPr>
          <w:rFonts w:ascii="Times New Roman" w:cs="Times New Roman" w:eastAsia="Times New Roman" w:hAnsi="Times New Roman"/>
          <w:sz w:val="24"/>
          <w:szCs w:val="24"/>
        </w:rPr>
        <w:t xml:space="preserve">(4), 411–431. https://doi.org/10.1016/j.jpsychires.2008.04.014</w:t>
      </w:r>
    </w:p>
    <w:p>
      <w:pPr>
        <w:spacing w:after="0" w:before="0" w:line="480" w:lineRule="auto"/>
        <w:ind w:left="720" w:hanging="720"/>
      </w:pPr>
      <w:r>
        <w:rPr>
          <w:rFonts w:ascii="Times New Roman" w:cs="Times New Roman" w:eastAsia="Times New Roman" w:hAnsi="Times New Roman"/>
          <w:sz w:val="24"/>
          <w:szCs w:val="24"/>
        </w:rPr>
        <w:t xml:space="preserve">Nasreddine, Z. S., Phillips, N. A., Bédirian, V., Charbonneau, S., Whitehead, V., Collin, I., Cummings, J. L., &amp; Chertkow, H. (2005). The Montreal Cognitive Assessment, MoCA: A brief screening tool for mild cognitive impairment. </w:t>
      </w:r>
      <w:r>
        <w:rPr>
          <w:rFonts w:ascii="Times New Roman" w:cs="Times New Roman" w:eastAsia="Times New Roman" w:hAnsi="Times New Roman"/>
          <w:i/>
          <w:iCs/>
          <w:sz w:val="24"/>
          <w:szCs w:val="24"/>
        </w:rPr>
        <w:t xml:space="preserve">Journal of the American Geriatrics Society, 53</w:t>
      </w:r>
      <w:r>
        <w:rPr>
          <w:rFonts w:ascii="Times New Roman" w:cs="Times New Roman" w:eastAsia="Times New Roman" w:hAnsi="Times New Roman"/>
          <w:sz w:val="24"/>
          <w:szCs w:val="24"/>
        </w:rPr>
        <w:t xml:space="preserve">(4), 695–699. https://doi.org/10.1111/j.1532-5415.2005.53221.x</w:t>
      </w:r>
    </w:p>
    <w:p>
      <w:pPr>
        <w:spacing w:after="0" w:before="0" w:line="480" w:lineRule="auto"/>
        <w:ind w:left="720" w:hanging="720"/>
      </w:pPr>
      <w:r>
        <w:rPr>
          <w:rFonts w:ascii="Times New Roman" w:cs="Times New Roman" w:eastAsia="Times New Roman" w:hAnsi="Times New Roman"/>
          <w:sz w:val="24"/>
          <w:szCs w:val="24"/>
        </w:rPr>
        <w:t xml:space="preserve">Nichols, E., Steinmetz, J. D., Vollset, S. E., Fukutaki, K., Chalek, J., Abd-Allah, F., Abdoli, A., Abualhasan, A., Abu-Gharbieh, E., Akram, T. T., Al Hamad, H., Alahdab, F., Alanezi, F. M., Alipour, V., Almustanyir, S., Amu, H., Ansari, I., Arabloo, J., Ashraf, T., … Vos, T. (2022). Estimation of the global prevalence of dementia in 2019 and forecasted prevalence in 2050: An analysis for the Global Burden of Disease Study 2019. </w:t>
      </w:r>
      <w:r>
        <w:rPr>
          <w:rFonts w:ascii="Times New Roman" w:cs="Times New Roman" w:eastAsia="Times New Roman" w:hAnsi="Times New Roman"/>
          <w:i/>
          <w:iCs/>
          <w:sz w:val="24"/>
          <w:szCs w:val="24"/>
        </w:rPr>
        <w:t xml:space="preserve">The Lancet Public Health, 7</w:t>
      </w:r>
      <w:r>
        <w:rPr>
          <w:rFonts w:ascii="Times New Roman" w:cs="Times New Roman" w:eastAsia="Times New Roman" w:hAnsi="Times New Roman"/>
          <w:sz w:val="24"/>
          <w:szCs w:val="24"/>
        </w:rPr>
        <w:t xml:space="preserve">(2), e105–e125. https://doi.org/10.1016/S2468-2667(21)00249-8</w:t>
      </w:r>
    </w:p>
    <w:p>
      <w:pPr>
        <w:spacing w:after="0" w:before="0" w:line="480" w:lineRule="auto"/>
        <w:ind w:left="720" w:hanging="720"/>
      </w:pPr>
      <w:r>
        <w:rPr>
          <w:rFonts w:ascii="Times New Roman" w:cs="Times New Roman" w:eastAsia="Times New Roman" w:hAnsi="Times New Roman"/>
          <w:sz w:val="24"/>
          <w:szCs w:val="24"/>
        </w:rPr>
        <w:t xml:space="preserve">Ott, B. R., Lafleche, G., Whelihan, W. M., Buongiorno, G. W., Albert, M. S., &amp; Fogel, B. S. (1996). Impaired awareness of deficits in Alzheimer disease. </w:t>
      </w:r>
      <w:r>
        <w:rPr>
          <w:rFonts w:ascii="Times New Roman" w:cs="Times New Roman" w:eastAsia="Times New Roman" w:hAnsi="Times New Roman"/>
          <w:i/>
          <w:iCs/>
          <w:sz w:val="24"/>
          <w:szCs w:val="24"/>
        </w:rPr>
        <w:t xml:space="preserve">Alzheimer Disease &amp; Associated Disorders, 10</w:t>
      </w:r>
      <w:r>
        <w:rPr>
          <w:rFonts w:ascii="Times New Roman" w:cs="Times New Roman" w:eastAsia="Times New Roman" w:hAnsi="Times New Roman"/>
          <w:sz w:val="24"/>
          <w:szCs w:val="24"/>
        </w:rPr>
        <w:t xml:space="preserve">(1), 68–76.</w:t>
      </w:r>
    </w:p>
    <w:p>
      <w:pPr>
        <w:spacing w:after="0" w:before="0" w:line="480" w:lineRule="auto"/>
        <w:ind w:left="720" w:hanging="720"/>
      </w:pPr>
      <w:r>
        <w:rPr>
          <w:rFonts w:ascii="Times New Roman" w:cs="Times New Roman" w:eastAsia="Times New Roman" w:hAnsi="Times New Roman"/>
          <w:sz w:val="24"/>
          <w:szCs w:val="24"/>
        </w:rPr>
        <w:t xml:space="preserve">Owens, D. K., Davidson, K. W., Krist, A. H., Barry, M. J., Cabana, M., Caughey, A. B., Doubeni, C. A., Epling, J. W., Jr., Kubik, M., Landefeld, C. S., Mangione, C. M., Pbert, L., Silverstein, M., Simon, M. A., Tseng, C.-W., &amp; Wong, J. B. (2020). Screening for cognitive impairment in older adults: US Preventive Services Task Force recommendation statement. </w:t>
      </w:r>
      <w:r>
        <w:rPr>
          <w:rFonts w:ascii="Times New Roman" w:cs="Times New Roman" w:eastAsia="Times New Roman" w:hAnsi="Times New Roman"/>
          <w:i/>
          <w:iCs/>
          <w:sz w:val="24"/>
          <w:szCs w:val="24"/>
        </w:rPr>
        <w:t xml:space="preserve">JAMA, 323</w:t>
      </w:r>
      <w:r>
        <w:rPr>
          <w:rFonts w:ascii="Times New Roman" w:cs="Times New Roman" w:eastAsia="Times New Roman" w:hAnsi="Times New Roman"/>
          <w:sz w:val="24"/>
          <w:szCs w:val="24"/>
        </w:rPr>
        <w:t xml:space="preserve">(8), 757–763. https://doi.org/10.1001/jama.2020.0435</w:t>
      </w:r>
    </w:p>
    <w:p>
      <w:pPr>
        <w:spacing w:after="0" w:before="0" w:line="480" w:lineRule="auto"/>
        <w:ind w:left="720" w:hanging="720"/>
      </w:pPr>
      <w:r>
        <w:rPr>
          <w:rFonts w:ascii="Times New Roman" w:cs="Times New Roman" w:eastAsia="Times New Roman" w:hAnsi="Times New Roman"/>
          <w:sz w:val="24"/>
          <w:szCs w:val="24"/>
        </w:rPr>
        <w:t xml:space="preserve">Ownby, R. L., Crocco, E., Acevedo, A., John, V., &amp; Loewenstein, D. (2006). Depression and risk for Alzheimer disease: Systematic review, meta-analysis, and metaregression analysis. </w:t>
      </w:r>
      <w:r>
        <w:rPr>
          <w:rFonts w:ascii="Times New Roman" w:cs="Times New Roman" w:eastAsia="Times New Roman" w:hAnsi="Times New Roman"/>
          <w:i/>
          <w:iCs/>
          <w:sz w:val="24"/>
          <w:szCs w:val="24"/>
        </w:rPr>
        <w:t xml:space="preserve">Archives of General Psychiatry, 63</w:t>
      </w:r>
      <w:r>
        <w:rPr>
          <w:rFonts w:ascii="Times New Roman" w:cs="Times New Roman" w:eastAsia="Times New Roman" w:hAnsi="Times New Roman"/>
          <w:sz w:val="24"/>
          <w:szCs w:val="24"/>
        </w:rPr>
        <w:t xml:space="preserve">(5), 530–538. https://doi.org/10.1001/archpsyc.63.5.530</w:t>
      </w:r>
    </w:p>
    <w:p>
      <w:pPr>
        <w:spacing w:after="0" w:before="0" w:line="480" w:lineRule="auto"/>
        <w:ind w:left="720" w:hanging="720"/>
      </w:pPr>
      <w:r>
        <w:rPr>
          <w:rFonts w:ascii="Times New Roman" w:cs="Times New Roman" w:eastAsia="Times New Roman" w:hAnsi="Times New Roman"/>
          <w:sz w:val="24"/>
          <w:szCs w:val="24"/>
        </w:rPr>
        <w:t xml:space="preserve">Patel, V., &amp; Prince, M. (2001). Ageing and mental health in a developing country: Who cares? Qualitative studies from Goa, India. </w:t>
      </w:r>
      <w:r>
        <w:rPr>
          <w:rFonts w:ascii="Times New Roman" w:cs="Times New Roman" w:eastAsia="Times New Roman" w:hAnsi="Times New Roman"/>
          <w:i/>
          <w:iCs/>
          <w:sz w:val="24"/>
          <w:szCs w:val="24"/>
        </w:rPr>
        <w:t xml:space="preserve">Psychological Medicine, 31</w:t>
      </w:r>
      <w:r>
        <w:rPr>
          <w:rFonts w:ascii="Times New Roman" w:cs="Times New Roman" w:eastAsia="Times New Roman" w:hAnsi="Times New Roman"/>
          <w:sz w:val="24"/>
          <w:szCs w:val="24"/>
        </w:rPr>
        <w:t xml:space="preserve">(1), 29–38.</w:t>
      </w:r>
    </w:p>
    <w:p>
      <w:pPr>
        <w:spacing w:after="0" w:before="0" w:line="480" w:lineRule="auto"/>
        <w:ind w:left="720" w:hanging="720"/>
      </w:pPr>
      <w:r>
        <w:rPr>
          <w:rFonts w:ascii="Times New Roman" w:cs="Times New Roman" w:eastAsia="Times New Roman" w:hAnsi="Times New Roman"/>
          <w:sz w:val="24"/>
          <w:szCs w:val="24"/>
        </w:rPr>
        <w:t xml:space="preserve">Petersen, R. C. (2004). Mild cognitive impairment as a diagnostic entity. </w:t>
      </w:r>
      <w:r>
        <w:rPr>
          <w:rFonts w:ascii="Times New Roman" w:cs="Times New Roman" w:eastAsia="Times New Roman" w:hAnsi="Times New Roman"/>
          <w:i/>
          <w:iCs/>
          <w:sz w:val="24"/>
          <w:szCs w:val="24"/>
        </w:rPr>
        <w:t xml:space="preserve">Journal of Internal Medicine, 256</w:t>
      </w:r>
      <w:r>
        <w:rPr>
          <w:rFonts w:ascii="Times New Roman" w:cs="Times New Roman" w:eastAsia="Times New Roman" w:hAnsi="Times New Roman"/>
          <w:sz w:val="24"/>
          <w:szCs w:val="24"/>
        </w:rPr>
        <w:t xml:space="preserve">(3), 183–194. https://doi.org/10.1111/j.1365-2796.2004.01388.x</w:t>
      </w:r>
    </w:p>
    <w:p>
      <w:pPr>
        <w:spacing w:after="0" w:before="0" w:line="480" w:lineRule="auto"/>
        <w:ind w:left="720" w:hanging="720"/>
      </w:pPr>
      <w:r>
        <w:rPr>
          <w:rFonts w:ascii="Times New Roman" w:cs="Times New Roman" w:eastAsia="Times New Roman" w:hAnsi="Times New Roman"/>
          <w:sz w:val="24"/>
          <w:szCs w:val="24"/>
        </w:rPr>
        <w:t xml:space="preserve">Pfeffer, R. I., Kurosaki, T. T., Harrah, C. H., Jr., Chance, J. M., &amp; Filos, S. (1982). Measurement of functional activities in older adults in the community. </w:t>
      </w:r>
      <w:r>
        <w:rPr>
          <w:rFonts w:ascii="Times New Roman" w:cs="Times New Roman" w:eastAsia="Times New Roman" w:hAnsi="Times New Roman"/>
          <w:i/>
          <w:iCs/>
          <w:sz w:val="24"/>
          <w:szCs w:val="24"/>
        </w:rPr>
        <w:t xml:space="preserve">Journal of Gerontology, 37</w:t>
      </w:r>
      <w:r>
        <w:rPr>
          <w:rFonts w:ascii="Times New Roman" w:cs="Times New Roman" w:eastAsia="Times New Roman" w:hAnsi="Times New Roman"/>
          <w:sz w:val="24"/>
          <w:szCs w:val="24"/>
        </w:rPr>
        <w:t xml:space="preserve">(3), 323–329. https://doi.org/10.1093/geronj/37.3.323</w:t>
      </w:r>
    </w:p>
    <w:p>
      <w:pPr>
        <w:spacing w:after="0" w:before="0" w:line="480" w:lineRule="auto"/>
        <w:ind w:left="720" w:hanging="720"/>
      </w:pPr>
      <w:r>
        <w:rPr>
          <w:rFonts w:ascii="Times New Roman" w:cs="Times New Roman" w:eastAsia="Times New Roman" w:hAnsi="Times New Roman"/>
          <w:sz w:val="24"/>
          <w:szCs w:val="24"/>
        </w:rPr>
        <w:t xml:space="preserve">Prince, M., Bryce, R., Albanese, E., Wimo, A., Ribeiro, W., &amp; Ferri, C. P. (2013). The global prevalence of dementia: A systematic review and metaanalysis. </w:t>
      </w:r>
      <w:r>
        <w:rPr>
          <w:rFonts w:ascii="Times New Roman" w:cs="Times New Roman" w:eastAsia="Times New Roman" w:hAnsi="Times New Roman"/>
          <w:i/>
          <w:iCs/>
          <w:sz w:val="24"/>
          <w:szCs w:val="24"/>
        </w:rPr>
        <w:t xml:space="preserve">Alzheimer’s &amp; Dementia, 9</w:t>
      </w:r>
      <w:r>
        <w:rPr>
          <w:rFonts w:ascii="Times New Roman" w:cs="Times New Roman" w:eastAsia="Times New Roman" w:hAnsi="Times New Roman"/>
          <w:sz w:val="24"/>
          <w:szCs w:val="24"/>
        </w:rPr>
        <w:t xml:space="preserve">(1), 63–75.e2. https://doi.org/10.1016/j.jalz.2012.11.007</w:t>
      </w:r>
    </w:p>
    <w:p>
      <w:pPr>
        <w:spacing w:after="0" w:before="0" w:line="480" w:lineRule="auto"/>
        <w:ind w:left="720" w:hanging="720"/>
      </w:pPr>
      <w:r>
        <w:rPr>
          <w:rFonts w:ascii="Times New Roman" w:cs="Times New Roman" w:eastAsia="Times New Roman" w:hAnsi="Times New Roman"/>
          <w:sz w:val="24"/>
          <w:szCs w:val="24"/>
        </w:rPr>
        <w:t xml:space="preserve">Prince, M., Bryce, R., &amp; Ferri, C. (2011). </w:t>
      </w:r>
      <w:r>
        <w:rPr>
          <w:rFonts w:ascii="Times New Roman" w:cs="Times New Roman" w:eastAsia="Times New Roman" w:hAnsi="Times New Roman"/>
          <w:i/>
          <w:iCs/>
          <w:sz w:val="24"/>
          <w:szCs w:val="24"/>
        </w:rPr>
        <w:t xml:space="preserve">World Alzheimer Report 2011: The benefits of early diagnosis and intervention</w:t>
      </w:r>
      <w:r>
        <w:rPr>
          <w:rFonts w:ascii="Times New Roman" w:cs="Times New Roman" w:eastAsia="Times New Roman" w:hAnsi="Times New Roman"/>
          <w:sz w:val="24"/>
          <w:szCs w:val="24"/>
        </w:rPr>
        <w:t xml:space="preserve">. Alzheimer’s Disease International.</w:t>
      </w:r>
    </w:p>
    <w:p>
      <w:pPr>
        <w:spacing w:after="0" w:before="0" w:line="480" w:lineRule="auto"/>
        <w:ind w:left="720" w:hanging="720"/>
      </w:pPr>
      <w:r>
        <w:rPr>
          <w:rFonts w:ascii="Times New Roman" w:cs="Times New Roman" w:eastAsia="Times New Roman" w:hAnsi="Times New Roman"/>
          <w:sz w:val="24"/>
          <w:szCs w:val="24"/>
        </w:rPr>
        <w:t xml:space="preserve">Rascovsky, K., Hodges, J. R., Knopman, D., Mendez, M. F., Kramer, J. H., Neuhaus, J., van Swieten, J. C., Seelaar, H., Dopper, E. G. P., Onyike, C. U., Hillis, A. E., Josephs, K. A., Boeve, B. F., Kertesz, A., Seeley, W. W., Rankin, K. P., Johnson, J. K., Gorno-Tempini, M.-L., Rosen, H., … Miller, B. L. (2011). Sensitivity of revised diagnostic criteria for the behavioural variant of frontotemporal dementia. </w:t>
      </w:r>
      <w:r>
        <w:rPr>
          <w:rFonts w:ascii="Times New Roman" w:cs="Times New Roman" w:eastAsia="Times New Roman" w:hAnsi="Times New Roman"/>
          <w:i/>
          <w:iCs/>
          <w:sz w:val="24"/>
          <w:szCs w:val="24"/>
        </w:rPr>
        <w:t xml:space="preserve">Brain, 134</w:t>
      </w:r>
      <w:r>
        <w:rPr>
          <w:rFonts w:ascii="Times New Roman" w:cs="Times New Roman" w:eastAsia="Times New Roman" w:hAnsi="Times New Roman"/>
          <w:sz w:val="24"/>
          <w:szCs w:val="24"/>
        </w:rPr>
        <w:t xml:space="preserve">(9), 2456–2477. https://doi.org/10.1093/brain/awr179</w:t>
      </w:r>
    </w:p>
    <w:p>
      <w:pPr>
        <w:spacing w:after="0" w:before="0" w:line="480" w:lineRule="auto"/>
        <w:ind w:left="720" w:hanging="720"/>
      </w:pPr>
      <w:r>
        <w:rPr>
          <w:rFonts w:ascii="Times New Roman" w:cs="Times New Roman" w:eastAsia="Times New Roman" w:hAnsi="Times New Roman"/>
          <w:sz w:val="24"/>
          <w:szCs w:val="24"/>
        </w:rPr>
        <w:t xml:space="preserve">Robert, P., Lanctôt, K. L., Agüera-Ortiz, L., Aalten, P., Bremond, F., Defrancesco, M., Hanon, C., David, R., Dubois, B., Dujardin, K., Husain, M., König, A., Levy, R., Mecocci, P., Roubaud, C., Vellas, B., Verhey, F., Weiner, M., &amp; Manera, V. (2018). Is it time to revise the diagnostic criteria for apathy in brain disorders? The 2018 international consensus group. </w:t>
      </w:r>
      <w:r>
        <w:rPr>
          <w:rFonts w:ascii="Times New Roman" w:cs="Times New Roman" w:eastAsia="Times New Roman" w:hAnsi="Times New Roman"/>
          <w:i/>
          <w:iCs/>
          <w:sz w:val="24"/>
          <w:szCs w:val="24"/>
        </w:rPr>
        <w:t xml:space="preserve">European Psychiatry, 54</w:t>
      </w:r>
      <w:r>
        <w:rPr>
          <w:rFonts w:ascii="Times New Roman" w:cs="Times New Roman" w:eastAsia="Times New Roman" w:hAnsi="Times New Roman"/>
          <w:sz w:val="24"/>
          <w:szCs w:val="24"/>
        </w:rPr>
        <w:t xml:space="preserve">, 71–76.</w:t>
      </w:r>
    </w:p>
    <w:p>
      <w:pPr>
        <w:spacing w:after="0" w:before="0" w:line="480" w:lineRule="auto"/>
        <w:ind w:left="720" w:hanging="720"/>
      </w:pPr>
      <w:r>
        <w:rPr>
          <w:rFonts w:ascii="Times New Roman" w:cs="Times New Roman" w:eastAsia="Times New Roman" w:hAnsi="Times New Roman"/>
          <w:sz w:val="24"/>
          <w:szCs w:val="24"/>
        </w:rPr>
        <w:t xml:space="preserve">Robins Wahlin, T.-B., &amp; Byrne, G. J. (2011). Personality changes in Alzheimer’s disease: A systematic review. </w:t>
      </w:r>
      <w:r>
        <w:rPr>
          <w:rFonts w:ascii="Times New Roman" w:cs="Times New Roman" w:eastAsia="Times New Roman" w:hAnsi="Times New Roman"/>
          <w:i/>
          <w:iCs/>
          <w:sz w:val="24"/>
          <w:szCs w:val="24"/>
        </w:rPr>
        <w:t xml:space="preserve">International Journal of Geriatric Psychiatry, 26</w:t>
      </w:r>
      <w:r>
        <w:rPr>
          <w:rFonts w:ascii="Times New Roman" w:cs="Times New Roman" w:eastAsia="Times New Roman" w:hAnsi="Times New Roman"/>
          <w:sz w:val="24"/>
          <w:szCs w:val="24"/>
        </w:rPr>
        <w:t xml:space="preserve">(10), 1019–1029.</w:t>
      </w:r>
    </w:p>
    <w:p>
      <w:pPr>
        <w:spacing w:after="0" w:before="0" w:line="480" w:lineRule="auto"/>
        <w:ind w:left="720" w:hanging="720"/>
      </w:pPr>
      <w:r>
        <w:rPr>
          <w:rFonts w:ascii="Times New Roman" w:cs="Times New Roman" w:eastAsia="Times New Roman" w:hAnsi="Times New Roman"/>
          <w:sz w:val="24"/>
          <w:szCs w:val="24"/>
        </w:rPr>
        <w:t xml:space="preserve">Ropacki, S. A., &amp; Jeste, D. V. (2005). Epidemiology of and risk factors for psychosis of Alzheimer’s disease: A review of 55 studies published from 1990 to 2003. </w:t>
      </w:r>
      <w:r>
        <w:rPr>
          <w:rFonts w:ascii="Times New Roman" w:cs="Times New Roman" w:eastAsia="Times New Roman" w:hAnsi="Times New Roman"/>
          <w:i/>
          <w:iCs/>
          <w:sz w:val="24"/>
          <w:szCs w:val="24"/>
        </w:rPr>
        <w:t xml:space="preserve">American Journal of Psychiatry, 162</w:t>
      </w:r>
      <w:r>
        <w:rPr>
          <w:rFonts w:ascii="Times New Roman" w:cs="Times New Roman" w:eastAsia="Times New Roman" w:hAnsi="Times New Roman"/>
          <w:sz w:val="24"/>
          <w:szCs w:val="24"/>
        </w:rPr>
        <w:t xml:space="preserve">(11), 2022–2030. https://doi.org/10.1176/appi.ajp.162.11.2022</w:t>
      </w:r>
    </w:p>
    <w:p>
      <w:pPr>
        <w:spacing w:after="0" w:before="0" w:line="480" w:lineRule="auto"/>
        <w:ind w:left="720" w:hanging="720"/>
      </w:pPr>
      <w:r>
        <w:rPr>
          <w:rFonts w:ascii="Times New Roman" w:cs="Times New Roman" w:eastAsia="Times New Roman" w:hAnsi="Times New Roman"/>
          <w:sz w:val="24"/>
          <w:szCs w:val="24"/>
        </w:rPr>
        <w:t xml:space="preserve">Rosselli, M., &amp; Ardila, A. (2003). The impact of culture and education on non-verbal neuropsychological measurements: A critical review. </w:t>
      </w:r>
      <w:r>
        <w:rPr>
          <w:rFonts w:ascii="Times New Roman" w:cs="Times New Roman" w:eastAsia="Times New Roman" w:hAnsi="Times New Roman"/>
          <w:i/>
          <w:iCs/>
          <w:sz w:val="24"/>
          <w:szCs w:val="24"/>
        </w:rPr>
        <w:t xml:space="preserve">Brain and Cognition, 52</w:t>
      </w:r>
      <w:r>
        <w:rPr>
          <w:rFonts w:ascii="Times New Roman" w:cs="Times New Roman" w:eastAsia="Times New Roman" w:hAnsi="Times New Roman"/>
          <w:sz w:val="24"/>
          <w:szCs w:val="24"/>
        </w:rPr>
        <w:t xml:space="preserve">(3), 326–333.</w:t>
      </w:r>
    </w:p>
    <w:p>
      <w:pPr>
        <w:spacing w:after="0" w:before="0" w:line="480" w:lineRule="auto"/>
        <w:ind w:left="720" w:hanging="720"/>
      </w:pPr>
      <w:r>
        <w:rPr>
          <w:rFonts w:ascii="Times New Roman" w:cs="Times New Roman" w:eastAsia="Times New Roman" w:hAnsi="Times New Roman"/>
          <w:sz w:val="24"/>
          <w:szCs w:val="24"/>
        </w:rPr>
        <w:t xml:space="preserve">Saeed, K., Gater, R., Hussain, A., &amp; Mubbashar, M. (2000). The prevalence, classification and treatment of mental disorders among attenders of native faith healers in rural Pakistan. </w:t>
      </w:r>
      <w:r>
        <w:rPr>
          <w:rFonts w:ascii="Times New Roman" w:cs="Times New Roman" w:eastAsia="Times New Roman" w:hAnsi="Times New Roman"/>
          <w:i/>
          <w:iCs/>
          <w:sz w:val="24"/>
          <w:szCs w:val="24"/>
        </w:rPr>
        <w:t xml:space="preserve">Social Psychiatry and Psychiatric Epidemiology, 35</w:t>
      </w:r>
      <w:r>
        <w:rPr>
          <w:rFonts w:ascii="Times New Roman" w:cs="Times New Roman" w:eastAsia="Times New Roman" w:hAnsi="Times New Roman"/>
          <w:sz w:val="24"/>
          <w:szCs w:val="24"/>
        </w:rPr>
        <w:t xml:space="preserve">(10), 480–485.</w:t>
      </w:r>
    </w:p>
    <w:p>
      <w:pPr>
        <w:spacing w:after="0" w:before="0" w:line="480" w:lineRule="auto"/>
        <w:ind w:left="720" w:hanging="720"/>
      </w:pPr>
      <w:r>
        <w:rPr>
          <w:rFonts w:ascii="Times New Roman" w:cs="Times New Roman" w:eastAsia="Times New Roman" w:hAnsi="Times New Roman"/>
          <w:sz w:val="24"/>
          <w:szCs w:val="24"/>
        </w:rPr>
        <w:t xml:space="preserve">Sikkes, S. A. M., de Lange-de Klerk, E. S. M., Pijnenburg, Y. A. L., Scheltens, P., &amp; Uitdehaag, B. M. J. (2009). A systematic review of instrumental activities of daily living scales in dementia: Room for improvement. </w:t>
      </w:r>
      <w:r>
        <w:rPr>
          <w:rFonts w:ascii="Times New Roman" w:cs="Times New Roman" w:eastAsia="Times New Roman" w:hAnsi="Times New Roman"/>
          <w:i/>
          <w:iCs/>
          <w:sz w:val="24"/>
          <w:szCs w:val="24"/>
        </w:rPr>
        <w:t xml:space="preserve">Journal of Neurology, Neurosurgery &amp; Psychiatry, 80</w:t>
      </w:r>
      <w:r>
        <w:rPr>
          <w:rFonts w:ascii="Times New Roman" w:cs="Times New Roman" w:eastAsia="Times New Roman" w:hAnsi="Times New Roman"/>
          <w:sz w:val="24"/>
          <w:szCs w:val="24"/>
        </w:rPr>
        <w:t xml:space="preserve">(1), 7–12.</w:t>
      </w:r>
    </w:p>
    <w:p>
      <w:pPr>
        <w:spacing w:after="0" w:before="0" w:line="480" w:lineRule="auto"/>
        <w:ind w:left="720" w:hanging="720"/>
      </w:pPr>
      <w:r>
        <w:rPr>
          <w:rFonts w:ascii="Times New Roman" w:cs="Times New Roman" w:eastAsia="Times New Roman" w:hAnsi="Times New Roman"/>
          <w:sz w:val="24"/>
          <w:szCs w:val="24"/>
        </w:rPr>
        <w:t xml:space="preserve">Starkstein, S. E. (2014). Anosognosia in Alzheimer’s disease: Diagnosis, frequency, mechanism and clinical correlates. </w:t>
      </w:r>
      <w:r>
        <w:rPr>
          <w:rFonts w:ascii="Times New Roman" w:cs="Times New Roman" w:eastAsia="Times New Roman" w:hAnsi="Times New Roman"/>
          <w:i/>
          <w:iCs/>
          <w:sz w:val="24"/>
          <w:szCs w:val="24"/>
        </w:rPr>
        <w:t xml:space="preserve">Cortex, 61</w:t>
      </w:r>
      <w:r>
        <w:rPr>
          <w:rFonts w:ascii="Times New Roman" w:cs="Times New Roman" w:eastAsia="Times New Roman" w:hAnsi="Times New Roman"/>
          <w:sz w:val="24"/>
          <w:szCs w:val="24"/>
        </w:rPr>
        <w:t xml:space="preserve">, 64–73. https://doi.org/10.1016/j.cortex.2014.07.019</w:t>
      </w:r>
    </w:p>
    <w:p>
      <w:pPr>
        <w:spacing w:after="0" w:before="0" w:line="480" w:lineRule="auto"/>
        <w:ind w:left="720" w:hanging="720"/>
      </w:pPr>
      <w:r>
        <w:rPr>
          <w:rFonts w:ascii="Times New Roman" w:cs="Times New Roman" w:eastAsia="Times New Roman" w:hAnsi="Times New Roman"/>
          <w:sz w:val="24"/>
          <w:szCs w:val="24"/>
        </w:rPr>
        <w:t xml:space="preserve">Starkstein, S. E., Jorge, R., Mizrahi, R., &amp; Robinson, R. G. (2006). A prospective longitudinal study of apathy in Alzheimer’s disease. </w:t>
      </w:r>
      <w:r>
        <w:rPr>
          <w:rFonts w:ascii="Times New Roman" w:cs="Times New Roman" w:eastAsia="Times New Roman" w:hAnsi="Times New Roman"/>
          <w:i/>
          <w:iCs/>
          <w:sz w:val="24"/>
          <w:szCs w:val="24"/>
        </w:rPr>
        <w:t xml:space="preserve">Journal of Neurology, Neurosurgery &amp; Psychiatry, 77</w:t>
      </w:r>
      <w:r>
        <w:rPr>
          <w:rFonts w:ascii="Times New Roman" w:cs="Times New Roman" w:eastAsia="Times New Roman" w:hAnsi="Times New Roman"/>
          <w:sz w:val="24"/>
          <w:szCs w:val="24"/>
        </w:rPr>
        <w:t xml:space="preserve">(1), 8–11. https://doi.org/10.1136/jnnp.2005.069575</w:t>
      </w:r>
    </w:p>
    <w:p>
      <w:pPr>
        <w:spacing w:after="0" w:before="0" w:line="480" w:lineRule="auto"/>
        <w:ind w:left="720" w:hanging="720"/>
      </w:pPr>
      <w:r>
        <w:rPr>
          <w:rFonts w:ascii="Times New Roman" w:cs="Times New Roman" w:eastAsia="Times New Roman" w:hAnsi="Times New Roman"/>
          <w:sz w:val="24"/>
          <w:szCs w:val="24"/>
        </w:rPr>
        <w:t xml:space="preserve">Trevethan, R. (2017). Sensitivity, specificity, and predictive values: Foundations, pliabilities, and pitfalls in research and practice. </w:t>
      </w:r>
      <w:r>
        <w:rPr>
          <w:rFonts w:ascii="Times New Roman" w:cs="Times New Roman" w:eastAsia="Times New Roman" w:hAnsi="Times New Roman"/>
          <w:i/>
          <w:iCs/>
          <w:sz w:val="24"/>
          <w:szCs w:val="24"/>
        </w:rPr>
        <w:t xml:space="preserve">Frontiers in Public Health, 5</w:t>
      </w:r>
      <w:r>
        <w:rPr>
          <w:rFonts w:ascii="Times New Roman" w:cs="Times New Roman" w:eastAsia="Times New Roman" w:hAnsi="Times New Roman"/>
          <w:sz w:val="24"/>
          <w:szCs w:val="24"/>
        </w:rPr>
        <w:t xml:space="preserve">, Article 307. https://doi.org/10.3389/fpubh.2017.00307</w:t>
      </w:r>
    </w:p>
    <w:p>
      <w:pPr>
        <w:spacing w:after="0" w:before="0" w:line="480" w:lineRule="auto"/>
        <w:ind w:left="720" w:hanging="720"/>
      </w:pPr>
      <w:r>
        <w:rPr>
          <w:rFonts w:ascii="Times New Roman" w:cs="Times New Roman" w:eastAsia="Times New Roman" w:hAnsi="Times New Roman"/>
          <w:sz w:val="24"/>
          <w:szCs w:val="24"/>
        </w:rPr>
        <w:t xml:space="preserve">United Nations, Department of Economic and Social Affairs, Population Division. (2022). </w:t>
      </w:r>
      <w:r>
        <w:rPr>
          <w:rFonts w:ascii="Times New Roman" w:cs="Times New Roman" w:eastAsia="Times New Roman" w:hAnsi="Times New Roman"/>
          <w:i/>
          <w:iCs/>
          <w:sz w:val="24"/>
          <w:szCs w:val="24"/>
        </w:rPr>
        <w:t xml:space="preserve">World population prospects 2022: Summary of results</w:t>
      </w:r>
      <w:r>
        <w:rPr>
          <w:rFonts w:ascii="Times New Roman" w:cs="Times New Roman" w:eastAsia="Times New Roman" w:hAnsi="Times New Roman"/>
          <w:sz w:val="24"/>
          <w:szCs w:val="24"/>
        </w:rPr>
        <w:t xml:space="preserve"> (UN DESA/POP/2022/TR/NO. 3).</w:t>
      </w:r>
    </w:p>
    <w:p>
      <w:pPr>
        <w:spacing w:after="0" w:before="0" w:line="480" w:lineRule="auto"/>
        <w:ind w:left="720" w:hanging="720"/>
      </w:pPr>
      <w:r>
        <w:rPr>
          <w:rFonts w:ascii="Times New Roman" w:cs="Times New Roman" w:eastAsia="Times New Roman" w:hAnsi="Times New Roman"/>
          <w:sz w:val="24"/>
          <w:szCs w:val="24"/>
        </w:rPr>
        <w:t xml:space="preserve">World Health Organization. (2021a). </w:t>
      </w:r>
      <w:r>
        <w:rPr>
          <w:rFonts w:ascii="Times New Roman" w:cs="Times New Roman" w:eastAsia="Times New Roman" w:hAnsi="Times New Roman"/>
          <w:i/>
          <w:iCs/>
          <w:sz w:val="24"/>
          <w:szCs w:val="24"/>
        </w:rPr>
        <w:t xml:space="preserve">Global status report on the public health response to dementia</w:t>
      </w:r>
      <w:r>
        <w:rPr>
          <w:rFonts w:ascii="Times New Roman" w:cs="Times New Roman" w:eastAsia="Times New Roman" w:hAnsi="Times New Roman"/>
          <w:sz w:val="24"/>
          <w:szCs w:val="24"/>
        </w:rPr>
        <w:t xml:space="preserve">.</w:t>
      </w:r>
    </w:p>
    <w:p>
      <w:pPr>
        <w:spacing w:after="0" w:before="0" w:line="480" w:lineRule="auto"/>
        <w:ind w:left="720" w:hanging="720"/>
      </w:pPr>
      <w:r>
        <w:rPr>
          <w:rFonts w:ascii="Times New Roman" w:cs="Times New Roman" w:eastAsia="Times New Roman" w:hAnsi="Times New Roman"/>
          <w:sz w:val="24"/>
          <w:szCs w:val="24"/>
        </w:rPr>
        <w:t xml:space="preserve">World Health Organization. (2021b). </w:t>
      </w:r>
      <w:r>
        <w:rPr>
          <w:rFonts w:ascii="Times New Roman" w:cs="Times New Roman" w:eastAsia="Times New Roman" w:hAnsi="Times New Roman"/>
          <w:i/>
          <w:iCs/>
          <w:sz w:val="24"/>
          <w:szCs w:val="24"/>
        </w:rPr>
        <w:t xml:space="preserve">Mental health atlas 2020</w:t>
      </w:r>
      <w:r>
        <w:rPr>
          <w:rFonts w:ascii="Times New Roman" w:cs="Times New Roman" w:eastAsia="Times New Roman" w:hAnsi="Times New Roman"/>
          <w:sz w:val="24"/>
          <w:szCs w:val="24"/>
        </w:rPr>
        <w:t xml:space="preserve">.</w:t>
      </w:r>
    </w:p>
    <w:p>
      <w:pPr>
        <w:spacing w:after="0" w:before="0" w:line="480" w:lineRule="auto"/>
        <w:ind w:left="720" w:hanging="720"/>
      </w:pPr>
      <w:r>
        <w:rPr>
          <w:rFonts w:ascii="Times New Roman" w:cs="Times New Roman" w:eastAsia="Times New Roman" w:hAnsi="Times New Roman"/>
          <w:sz w:val="24"/>
          <w:szCs w:val="24"/>
        </w:rPr>
        <w:t xml:space="preserve">World Health Organization. (2016). </w:t>
      </w:r>
      <w:r>
        <w:rPr>
          <w:rFonts w:ascii="Times New Roman" w:cs="Times New Roman" w:eastAsia="Times New Roman" w:hAnsi="Times New Roman"/>
          <w:i/>
          <w:iCs/>
          <w:sz w:val="24"/>
          <w:szCs w:val="24"/>
        </w:rPr>
        <w:t xml:space="preserve">mhGAP intervention guide for mental, neurological and substance use disorders in non-specialized health settings: Mental Health Gap Action Programme (mhGAP)</w:t>
      </w:r>
      <w:r>
        <w:rPr>
          <w:rFonts w:ascii="Times New Roman" w:cs="Times New Roman" w:eastAsia="Times New Roman" w:hAnsi="Times New Roman"/>
          <w:sz w:val="24"/>
          <w:szCs w:val="24"/>
        </w:rPr>
        <w:t xml:space="preserve"> (Version 2.0).</w:t>
      </w:r>
    </w:p>
    <w:sectPr>
      <w:head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2026-09-29T16:50:50.582Z</dcterms:created>
  <dcterms:modified xsi:type="dcterms:W3CDTF">2026-09-29T16:50:50.583Z</dcterms:modified>
</cp:coreProperties>
</file>

<file path=docProps/custom.xml><?xml version="1.0" encoding="utf-8"?>
<Properties xmlns="http://schemas.openxmlformats.org/officeDocument/2006/custom-properties" xmlns:vt="http://schemas.openxmlformats.org/officeDocument/2006/docPropsVTypes"/>
</file>